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4A80" w14:textId="26BFF4B3" w:rsidR="00C57DF4" w:rsidRDefault="00C57DF4">
      <w:pPr>
        <w:pStyle w:val="GvdeMetni"/>
        <w:spacing w:before="4"/>
        <w:rPr>
          <w:rFonts w:ascii="Arial"/>
          <w:b/>
          <w:sz w:val="31"/>
        </w:rPr>
      </w:pPr>
    </w:p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4305"/>
        <w:gridCol w:w="1585"/>
        <w:gridCol w:w="1825"/>
      </w:tblGrid>
      <w:tr w:rsidR="00EE4D9B" w:rsidRPr="004C4A7F" w14:paraId="29E82C2E" w14:textId="77777777" w:rsidTr="00EE4D9B">
        <w:trPr>
          <w:trHeight w:val="19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1BFE41A0" w14:textId="77777777" w:rsidR="00EE4D9B" w:rsidRPr="004C4A7F" w:rsidRDefault="00EE4D9B" w:rsidP="00130E29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</w:p>
          <w:p w14:paraId="042845E2" w14:textId="77777777" w:rsidR="00EE4D9B" w:rsidRPr="004C4A7F" w:rsidRDefault="00EE4D9B" w:rsidP="00130E29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inline distT="0" distB="0" distL="0" distR="0" wp14:anchorId="050398B2" wp14:editId="52A52F03">
                  <wp:extent cx="831775" cy="79248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882" cy="7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1A394B4" w14:textId="77777777" w:rsidR="00EE4D9B" w:rsidRDefault="00EE4D9B" w:rsidP="00130E29">
            <w:pPr>
              <w:ind w:left="134" w:right="104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</w:p>
          <w:p w14:paraId="180DAFC4" w14:textId="4310413D" w:rsidR="00EE4D9B" w:rsidRPr="004C4A7F" w:rsidRDefault="00EE4D9B" w:rsidP="00130E29">
            <w:pPr>
              <w:ind w:left="134" w:right="104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ENGELLİ ÖĞRENCİ EĞİTİM-ÖĞRETİM YÖNERGESİ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C2AD" w14:textId="77777777" w:rsidR="00EE4D9B" w:rsidRPr="00EE4D9B" w:rsidRDefault="00EE4D9B" w:rsidP="00130E29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6543D5" w14:textId="7EA0FC73" w:rsidR="00EE4D9B" w:rsidRPr="00EE4D9B" w:rsidRDefault="00EE4D9B" w:rsidP="00EE4D9B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EE4D9B">
              <w:rPr>
                <w:rFonts w:eastAsia="Calibri"/>
                <w:sz w:val="20"/>
                <w:szCs w:val="20"/>
                <w:lang w:eastAsia="tr-TR" w:bidi="tr-TR"/>
              </w:rPr>
              <w:t>EYS-YNG-020</w:t>
            </w:r>
          </w:p>
        </w:tc>
      </w:tr>
      <w:tr w:rsidR="00EE4D9B" w:rsidRPr="004C4A7F" w14:paraId="411CEE4F" w14:textId="77777777" w:rsidTr="00EE4D9B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4AF3A678" w14:textId="77777777" w:rsidR="00EE4D9B" w:rsidRPr="004C4A7F" w:rsidRDefault="00EE4D9B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46278F" w14:textId="77777777" w:rsidR="00EE4D9B" w:rsidRPr="004C4A7F" w:rsidRDefault="00EE4D9B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43E3" w14:textId="77777777" w:rsidR="00EE4D9B" w:rsidRPr="00EE4D9B" w:rsidRDefault="00EE4D9B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011204" w14:textId="0CF06D62" w:rsidR="00EE4D9B" w:rsidRPr="00EE4D9B" w:rsidRDefault="00EE4D9B" w:rsidP="00EE4D9B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EE4D9B">
              <w:rPr>
                <w:rFonts w:eastAsia="Calibri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EE4D9B" w:rsidRPr="004C4A7F" w14:paraId="134B423A" w14:textId="77777777" w:rsidTr="00EE4D9B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DEF11C9" w14:textId="77777777" w:rsidR="00EE4D9B" w:rsidRPr="004C4A7F" w:rsidRDefault="00EE4D9B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8A11A1" w14:textId="77777777" w:rsidR="00EE4D9B" w:rsidRPr="004C4A7F" w:rsidRDefault="00EE4D9B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1D82" w14:textId="77777777" w:rsidR="00EE4D9B" w:rsidRPr="00EE4D9B" w:rsidRDefault="00EE4D9B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200422" w14:textId="08219F7F" w:rsidR="00EE4D9B" w:rsidRPr="00EE4D9B" w:rsidRDefault="00EE4D9B" w:rsidP="00EE4D9B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EE4D9B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EE4D9B" w:rsidRPr="004C4A7F" w14:paraId="3FC6195A" w14:textId="77777777" w:rsidTr="00EE4D9B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4938758C" w14:textId="77777777" w:rsidR="00EE4D9B" w:rsidRPr="004C4A7F" w:rsidRDefault="00EE4D9B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026AD5" w14:textId="77777777" w:rsidR="00EE4D9B" w:rsidRPr="004C4A7F" w:rsidRDefault="00EE4D9B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213A" w14:textId="77777777" w:rsidR="00EE4D9B" w:rsidRPr="00EE4D9B" w:rsidRDefault="00EE4D9B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0CA296" w14:textId="6479030A" w:rsidR="00EE4D9B" w:rsidRPr="00EE4D9B" w:rsidRDefault="00EE4D9B" w:rsidP="00EE4D9B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EE4D9B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EE4D9B" w:rsidRPr="004C4A7F" w14:paraId="5A1F7CCD" w14:textId="77777777" w:rsidTr="00EE4D9B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C768C3" w14:textId="77777777" w:rsidR="00EE4D9B" w:rsidRPr="004C4A7F" w:rsidRDefault="00EE4D9B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0ADD3A" w14:textId="77777777" w:rsidR="00EE4D9B" w:rsidRPr="004C4A7F" w:rsidRDefault="00EE4D9B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D5D27C" w14:textId="77777777" w:rsidR="00EE4D9B" w:rsidRPr="00EE4D9B" w:rsidRDefault="00EE4D9B" w:rsidP="00130E29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</w:p>
          <w:p w14:paraId="1AF8C5C7" w14:textId="77777777" w:rsidR="00EE4D9B" w:rsidRPr="00EE4D9B" w:rsidRDefault="00EE4D9B" w:rsidP="00130E29">
            <w:pPr>
              <w:spacing w:before="25" w:line="189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EE4D9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4C817F7" w14:textId="77777777" w:rsidR="00EE4D9B" w:rsidRPr="00EE4D9B" w:rsidRDefault="00EE4D9B" w:rsidP="00130E29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</w:p>
          <w:p w14:paraId="1B4C532C" w14:textId="117672DF" w:rsidR="00EE4D9B" w:rsidRPr="00EE4D9B" w:rsidRDefault="00EE4D9B" w:rsidP="00EE4D9B">
            <w:pPr>
              <w:spacing w:line="192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EE4D9B">
              <w:rPr>
                <w:rFonts w:eastAsia="Calibri"/>
                <w:sz w:val="20"/>
                <w:szCs w:val="20"/>
                <w:lang w:eastAsia="tr-TR" w:bidi="tr-TR"/>
              </w:rPr>
              <w:t>3</w:t>
            </w:r>
          </w:p>
        </w:tc>
      </w:tr>
    </w:tbl>
    <w:p w14:paraId="2C164ED2" w14:textId="77777777" w:rsidR="00C57DF4" w:rsidRDefault="00C57DF4">
      <w:pPr>
        <w:pStyle w:val="GvdeMetni"/>
        <w:spacing w:before="9"/>
        <w:rPr>
          <w:b/>
          <w:sz w:val="19"/>
        </w:rPr>
      </w:pPr>
    </w:p>
    <w:p w14:paraId="17354E77" w14:textId="77777777" w:rsidR="00C57DF4" w:rsidRDefault="00C57DF4">
      <w:pPr>
        <w:rPr>
          <w:sz w:val="19"/>
        </w:rPr>
      </w:pPr>
    </w:p>
    <w:p w14:paraId="6EDAA02F" w14:textId="709174A8" w:rsidR="00EE4D9B" w:rsidRDefault="00EE4D9B">
      <w:pPr>
        <w:rPr>
          <w:sz w:val="19"/>
        </w:rPr>
        <w:sectPr w:rsidR="00EE4D9B">
          <w:type w:val="continuous"/>
          <w:pgSz w:w="11910" w:h="16840"/>
          <w:pgMar w:top="1160" w:right="1320" w:bottom="280" w:left="1300" w:header="708" w:footer="708" w:gutter="0"/>
          <w:cols w:space="708"/>
        </w:sectPr>
      </w:pPr>
    </w:p>
    <w:p w14:paraId="5440195E" w14:textId="77777777" w:rsidR="00C57DF4" w:rsidRDefault="00C57DF4">
      <w:pPr>
        <w:pStyle w:val="GvdeMetni"/>
        <w:rPr>
          <w:b/>
          <w:sz w:val="26"/>
        </w:rPr>
      </w:pPr>
    </w:p>
    <w:p w14:paraId="3A1A1360" w14:textId="77777777" w:rsidR="00C57DF4" w:rsidRDefault="00C57DF4">
      <w:pPr>
        <w:pStyle w:val="GvdeMetni"/>
        <w:rPr>
          <w:b/>
          <w:sz w:val="26"/>
        </w:rPr>
      </w:pPr>
    </w:p>
    <w:p w14:paraId="156616C1" w14:textId="77777777" w:rsidR="00C57DF4" w:rsidRDefault="00C57DF4">
      <w:pPr>
        <w:pStyle w:val="GvdeMetni"/>
        <w:spacing w:before="3"/>
        <w:rPr>
          <w:b/>
        </w:rPr>
      </w:pPr>
    </w:p>
    <w:p w14:paraId="0883AB88" w14:textId="77777777" w:rsidR="00C57DF4" w:rsidRDefault="002E1399">
      <w:pPr>
        <w:ind w:left="128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</w:p>
    <w:p w14:paraId="4318D13A" w14:textId="12DDC79D" w:rsidR="00EE4D9B" w:rsidRDefault="00EE4D9B" w:rsidP="002E1399">
      <w:pPr>
        <w:tabs>
          <w:tab w:val="left" w:pos="0"/>
        </w:tabs>
        <w:spacing w:before="90" w:line="275" w:lineRule="exact"/>
        <w:ind w:right="2655"/>
      </w:pPr>
    </w:p>
    <w:p w14:paraId="3E582379" w14:textId="593E38E0" w:rsidR="00C57DF4" w:rsidRDefault="002E1399" w:rsidP="00EE4D9B">
      <w:pPr>
        <w:spacing w:before="90" w:line="275" w:lineRule="exact"/>
        <w:ind w:left="110" w:right="2655"/>
        <w:jc w:val="center"/>
        <w:rPr>
          <w:b/>
          <w:sz w:val="24"/>
        </w:rPr>
      </w:pPr>
      <w:r>
        <w:rPr>
          <w:b/>
          <w:sz w:val="24"/>
        </w:rPr>
        <w:t>BİRİNCİ BÖLÜM</w:t>
      </w:r>
    </w:p>
    <w:p w14:paraId="5655B318" w14:textId="77777777" w:rsidR="00C57DF4" w:rsidRDefault="002E1399" w:rsidP="00EE4D9B">
      <w:pPr>
        <w:spacing w:line="275" w:lineRule="exact"/>
        <w:ind w:left="110" w:right="2661"/>
        <w:jc w:val="center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Kapsam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Dayanak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Tanımlar</w:t>
      </w:r>
      <w:proofErr w:type="spellEnd"/>
    </w:p>
    <w:p w14:paraId="30C48D44" w14:textId="77777777" w:rsidR="00C57DF4" w:rsidRDefault="00C57DF4" w:rsidP="00EE4D9B">
      <w:pPr>
        <w:spacing w:line="275" w:lineRule="exact"/>
        <w:jc w:val="both"/>
        <w:rPr>
          <w:sz w:val="24"/>
        </w:rPr>
        <w:sectPr w:rsidR="00C57DF4" w:rsidSect="002E1399">
          <w:type w:val="continuous"/>
          <w:pgSz w:w="11910" w:h="16840"/>
          <w:pgMar w:top="1160" w:right="995" w:bottom="280" w:left="1300" w:header="708" w:footer="708" w:gutter="0"/>
          <w:cols w:num="2" w:space="709" w:equalWidth="0">
            <w:col w:w="767" w:space="1777"/>
            <w:col w:w="6746"/>
          </w:cols>
        </w:sectPr>
      </w:pPr>
    </w:p>
    <w:p w14:paraId="7F6C329B" w14:textId="2B2644FF" w:rsidR="00C57DF4" w:rsidRDefault="002E1399" w:rsidP="00EE4D9B">
      <w:pPr>
        <w:pStyle w:val="GvdeMetni"/>
        <w:spacing w:line="237" w:lineRule="auto"/>
        <w:ind w:left="128" w:right="112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1 -(1) </w:t>
      </w:r>
      <w:r>
        <w:t xml:space="preserve">Bu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; </w:t>
      </w:r>
      <w:proofErr w:type="spellStart"/>
      <w:r w:rsidR="00EE4D9B">
        <w:t>Tekirdağ</w:t>
      </w:r>
      <w:proofErr w:type="spellEnd"/>
      <w:r w:rsidR="00EE4D9B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Üniversitesi'nde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öğrenimlerini</w:t>
      </w:r>
      <w:proofErr w:type="spellEnd"/>
      <w:r>
        <w:t xml:space="preserve">,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yeterliliklere</w:t>
      </w:r>
      <w:proofErr w:type="spellEnd"/>
      <w:r>
        <w:t xml:space="preserve"> </w:t>
      </w:r>
      <w:proofErr w:type="spellStart"/>
      <w:r>
        <w:t>ulaşmalarını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tamamlamaları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hususları</w:t>
      </w:r>
      <w:proofErr w:type="spellEnd"/>
      <w:r>
        <w:t xml:space="preserve"> </w:t>
      </w:r>
      <w:proofErr w:type="spellStart"/>
      <w:r>
        <w:t>düzenlemektir</w:t>
      </w:r>
      <w:proofErr w:type="spellEnd"/>
      <w:r>
        <w:t>.</w:t>
      </w:r>
    </w:p>
    <w:p w14:paraId="74DE5A65" w14:textId="77777777" w:rsidR="00C57DF4" w:rsidRDefault="00C57DF4" w:rsidP="00EE4D9B">
      <w:pPr>
        <w:pStyle w:val="GvdeMetni"/>
        <w:spacing w:before="9"/>
        <w:jc w:val="both"/>
        <w:rPr>
          <w:sz w:val="20"/>
        </w:rPr>
      </w:pPr>
    </w:p>
    <w:p w14:paraId="113EB8B9" w14:textId="77777777" w:rsidR="00C57DF4" w:rsidRDefault="002E1399" w:rsidP="00EE4D9B">
      <w:pPr>
        <w:pStyle w:val="Balk1"/>
        <w:spacing w:before="1" w:line="272" w:lineRule="exact"/>
        <w:jc w:val="both"/>
      </w:pPr>
      <w:proofErr w:type="spellStart"/>
      <w:r>
        <w:t>Kapsam</w:t>
      </w:r>
      <w:proofErr w:type="spellEnd"/>
    </w:p>
    <w:p w14:paraId="2E415791" w14:textId="4854F686" w:rsidR="00C57DF4" w:rsidRDefault="002E1399" w:rsidP="00EE4D9B">
      <w:pPr>
        <w:pStyle w:val="GvdeMetni"/>
        <w:spacing w:line="247" w:lineRule="auto"/>
        <w:ind w:left="128" w:right="107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2 -(1) </w:t>
      </w:r>
      <w:r>
        <w:t xml:space="preserve">Bu </w:t>
      </w:r>
      <w:proofErr w:type="spellStart"/>
      <w:r>
        <w:t>Yönerge</w:t>
      </w:r>
      <w:proofErr w:type="spellEnd"/>
      <w:r>
        <w:t xml:space="preserve">; </w:t>
      </w:r>
      <w:proofErr w:type="spellStart"/>
      <w:r w:rsidR="00EE4D9B">
        <w:t>Tekirdağ</w:t>
      </w:r>
      <w:proofErr w:type="spellEnd"/>
      <w:r w:rsidR="00EE4D9B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</w:t>
      </w:r>
      <w:r>
        <w:t>ersitesi'nde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,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ölçme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sürecini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14:paraId="1BC91EA9" w14:textId="77777777" w:rsidR="00C57DF4" w:rsidRDefault="00C57DF4" w:rsidP="00EE4D9B">
      <w:pPr>
        <w:pStyle w:val="GvdeMetni"/>
        <w:spacing w:before="6"/>
        <w:jc w:val="both"/>
        <w:rPr>
          <w:sz w:val="20"/>
        </w:rPr>
      </w:pPr>
    </w:p>
    <w:p w14:paraId="0DA9E9BA" w14:textId="77777777" w:rsidR="00C57DF4" w:rsidRDefault="002E1399" w:rsidP="00EE4D9B">
      <w:pPr>
        <w:pStyle w:val="Balk1"/>
        <w:spacing w:line="272" w:lineRule="exact"/>
        <w:jc w:val="both"/>
      </w:pPr>
      <w:proofErr w:type="spellStart"/>
      <w:r>
        <w:t>Dayanak</w:t>
      </w:r>
      <w:proofErr w:type="spellEnd"/>
    </w:p>
    <w:p w14:paraId="4A783E1D" w14:textId="77777777" w:rsidR="00C57DF4" w:rsidRDefault="002E1399" w:rsidP="00EE4D9B">
      <w:pPr>
        <w:pStyle w:val="GvdeMetni"/>
        <w:spacing w:before="3" w:line="232" w:lineRule="auto"/>
        <w:ind w:left="128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3 -(1) </w:t>
      </w:r>
      <w:r>
        <w:t xml:space="preserve">Bu </w:t>
      </w:r>
      <w:proofErr w:type="spellStart"/>
      <w:r>
        <w:t>Yönerge</w:t>
      </w:r>
      <w:proofErr w:type="spellEnd"/>
      <w:r>
        <w:t xml:space="preserve">,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Özürlüler</w:t>
      </w:r>
      <w:proofErr w:type="spellEnd"/>
      <w:r>
        <w:t xml:space="preserve"> </w:t>
      </w:r>
      <w:proofErr w:type="spellStart"/>
      <w:r>
        <w:t>Danışma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Koordinasyon</w:t>
      </w:r>
      <w:proofErr w:type="spellEnd"/>
      <w:r>
        <w:t xml:space="preserve"> </w:t>
      </w:r>
      <w:proofErr w:type="spellStart"/>
      <w:r>
        <w:t>Yönetmeliği'nin</w:t>
      </w:r>
      <w:proofErr w:type="spellEnd"/>
      <w:r>
        <w:t xml:space="preserve"> 11 </w:t>
      </w:r>
      <w:proofErr w:type="spellStart"/>
      <w:r>
        <w:t>ve</w:t>
      </w:r>
      <w:proofErr w:type="spellEnd"/>
      <w:r>
        <w:t xml:space="preserve"> 12'nci </w:t>
      </w:r>
      <w:proofErr w:type="spellStart"/>
      <w:r>
        <w:t>maddelerine</w:t>
      </w:r>
      <w:proofErr w:type="spellEnd"/>
      <w:r>
        <w:t xml:space="preserve"> </w:t>
      </w:r>
      <w:proofErr w:type="spellStart"/>
      <w:r>
        <w:t>dayanılarak</w:t>
      </w:r>
      <w:proofErr w:type="spellEnd"/>
      <w:r>
        <w:t xml:space="preserve"> </w:t>
      </w:r>
      <w:proofErr w:type="spellStart"/>
      <w:r>
        <w:t>hazırla</w:t>
      </w:r>
      <w:r>
        <w:t>nmıştır</w:t>
      </w:r>
      <w:proofErr w:type="spellEnd"/>
      <w:r>
        <w:t>.</w:t>
      </w:r>
    </w:p>
    <w:p w14:paraId="01F3CB8F" w14:textId="77777777" w:rsidR="00C57DF4" w:rsidRDefault="00C57DF4" w:rsidP="00EE4D9B">
      <w:pPr>
        <w:pStyle w:val="GvdeMetni"/>
        <w:spacing w:before="8"/>
        <w:jc w:val="both"/>
        <w:rPr>
          <w:sz w:val="20"/>
        </w:rPr>
      </w:pPr>
    </w:p>
    <w:p w14:paraId="00D4EB72" w14:textId="77777777" w:rsidR="00C57DF4" w:rsidRDefault="002E1399" w:rsidP="00EE4D9B">
      <w:pPr>
        <w:pStyle w:val="Balk1"/>
        <w:spacing w:line="275" w:lineRule="exact"/>
        <w:jc w:val="both"/>
      </w:pPr>
      <w:proofErr w:type="spellStart"/>
      <w:r>
        <w:t>Tanımlar</w:t>
      </w:r>
      <w:proofErr w:type="spellEnd"/>
    </w:p>
    <w:p w14:paraId="03591444" w14:textId="77777777" w:rsidR="00C57DF4" w:rsidRDefault="002E1399" w:rsidP="00EE4D9B">
      <w:pPr>
        <w:spacing w:line="274" w:lineRule="exact"/>
        <w:ind w:left="128"/>
        <w:jc w:val="both"/>
        <w:rPr>
          <w:b/>
          <w:sz w:val="24"/>
        </w:rPr>
      </w:pPr>
      <w:proofErr w:type="spellStart"/>
      <w:r>
        <w:rPr>
          <w:b/>
          <w:sz w:val="24"/>
        </w:rPr>
        <w:t>Madde</w:t>
      </w:r>
      <w:proofErr w:type="spellEnd"/>
      <w:r>
        <w:rPr>
          <w:b/>
          <w:sz w:val="24"/>
        </w:rPr>
        <w:t xml:space="preserve"> 4 -(1) Bu </w:t>
      </w:r>
      <w:proofErr w:type="spellStart"/>
      <w:r>
        <w:rPr>
          <w:b/>
          <w:sz w:val="24"/>
        </w:rPr>
        <w:t>Yönergede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geçen</w:t>
      </w:r>
      <w:proofErr w:type="spellEnd"/>
      <w:r>
        <w:rPr>
          <w:b/>
          <w:sz w:val="24"/>
        </w:rPr>
        <w:t>;</w:t>
      </w:r>
    </w:p>
    <w:p w14:paraId="0B6B2062" w14:textId="2692F838" w:rsidR="00C57DF4" w:rsidRDefault="002E1399" w:rsidP="00EE4D9B">
      <w:pPr>
        <w:pStyle w:val="ListeParagraf"/>
        <w:numPr>
          <w:ilvl w:val="0"/>
          <w:numId w:val="2"/>
        </w:numPr>
        <w:tabs>
          <w:tab w:val="left" w:pos="1246"/>
          <w:tab w:val="left" w:pos="1247"/>
        </w:tabs>
        <w:spacing w:line="274" w:lineRule="exact"/>
        <w:jc w:val="both"/>
        <w:rPr>
          <w:sz w:val="24"/>
        </w:rPr>
      </w:pP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: </w:t>
      </w:r>
      <w:proofErr w:type="spellStart"/>
      <w:r w:rsidR="00EE4D9B">
        <w:rPr>
          <w:sz w:val="24"/>
        </w:rPr>
        <w:t>Tekirdağ</w:t>
      </w:r>
      <w:proofErr w:type="spellEnd"/>
      <w:r w:rsidR="00EE4D9B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Üniversitesini</w:t>
      </w:r>
      <w:proofErr w:type="spellEnd"/>
      <w:r>
        <w:rPr>
          <w:sz w:val="24"/>
        </w:rPr>
        <w:t>,</w:t>
      </w:r>
    </w:p>
    <w:p w14:paraId="27C61259" w14:textId="77777777" w:rsidR="00C57DF4" w:rsidRDefault="002E1399" w:rsidP="00EE4D9B">
      <w:pPr>
        <w:pStyle w:val="ListeParagraf"/>
        <w:numPr>
          <w:ilvl w:val="0"/>
          <w:numId w:val="2"/>
        </w:numPr>
        <w:tabs>
          <w:tab w:val="left" w:pos="1249"/>
          <w:tab w:val="left" w:pos="1250"/>
        </w:tabs>
        <w:spacing w:line="274" w:lineRule="exact"/>
        <w:ind w:left="1249" w:hanging="560"/>
        <w:jc w:val="both"/>
        <w:rPr>
          <w:sz w:val="24"/>
        </w:rPr>
      </w:pP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İlgili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Enstitü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Konservatuar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Meslek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Yüksekokulunu</w:t>
      </w:r>
      <w:proofErr w:type="spellEnd"/>
    </w:p>
    <w:p w14:paraId="74BA9596" w14:textId="77777777" w:rsidR="00C57DF4" w:rsidRDefault="002E1399" w:rsidP="00EE4D9B">
      <w:pPr>
        <w:pStyle w:val="ListeParagraf"/>
        <w:numPr>
          <w:ilvl w:val="0"/>
          <w:numId w:val="2"/>
        </w:numPr>
        <w:tabs>
          <w:tab w:val="left" w:pos="1247"/>
        </w:tabs>
        <w:spacing w:before="1" w:line="237" w:lineRule="auto"/>
        <w:ind w:left="1249" w:right="110" w:hanging="560"/>
        <w:jc w:val="both"/>
        <w:rPr>
          <w:sz w:val="24"/>
        </w:rPr>
      </w:pPr>
      <w:proofErr w:type="spellStart"/>
      <w:r>
        <w:rPr>
          <w:sz w:val="24"/>
        </w:rPr>
        <w:t>Engelli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Doğuştan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nedenle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bedensel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zihinsel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ruhsal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duyusal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sosyal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yeteneklerini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çeşitli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derecelerde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kaybetmesi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nedeniyle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toplumsal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yaşama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gereksinimlerini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güçlükleri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bakım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rehabilitasyon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danışmanlık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kişiyi</w:t>
      </w:r>
      <w:proofErr w:type="spellEnd"/>
    </w:p>
    <w:p w14:paraId="350982D2" w14:textId="77777777" w:rsidR="00C57DF4" w:rsidRDefault="002E1399" w:rsidP="00EE4D9B">
      <w:pPr>
        <w:pStyle w:val="GvdeMetni"/>
        <w:spacing w:before="3"/>
        <w:ind w:left="690"/>
        <w:jc w:val="both"/>
      </w:pPr>
      <w:proofErr w:type="spellStart"/>
      <w:r>
        <w:t>ifade</w:t>
      </w:r>
      <w:proofErr w:type="spellEnd"/>
      <w:r>
        <w:t xml:space="preserve"> </w:t>
      </w:r>
      <w:proofErr w:type="spellStart"/>
      <w:r>
        <w:t>eder</w:t>
      </w:r>
      <w:proofErr w:type="spellEnd"/>
      <w:r>
        <w:t>.</w:t>
      </w:r>
    </w:p>
    <w:p w14:paraId="48EC7859" w14:textId="77777777" w:rsidR="00C57DF4" w:rsidRDefault="00C57DF4" w:rsidP="00EE4D9B">
      <w:pPr>
        <w:jc w:val="both"/>
        <w:sectPr w:rsidR="00C57DF4" w:rsidSect="002E1399">
          <w:type w:val="continuous"/>
          <w:pgSz w:w="11910" w:h="16840"/>
          <w:pgMar w:top="1160" w:right="995" w:bottom="280" w:left="1300" w:header="708" w:footer="708" w:gutter="0"/>
          <w:cols w:space="708"/>
        </w:sectPr>
      </w:pPr>
    </w:p>
    <w:p w14:paraId="32D1C1CE" w14:textId="77777777" w:rsidR="00C57DF4" w:rsidRDefault="002E1399" w:rsidP="00EE4D9B">
      <w:pPr>
        <w:pStyle w:val="Balk1"/>
        <w:spacing w:before="72"/>
        <w:ind w:left="1659" w:right="1644"/>
        <w:jc w:val="center"/>
      </w:pPr>
      <w:r>
        <w:lastRenderedPageBreak/>
        <w:t>İKİNCİ BÖLÜM</w:t>
      </w:r>
    </w:p>
    <w:p w14:paraId="3404BCA6" w14:textId="77777777" w:rsidR="00C57DF4" w:rsidRDefault="002E1399" w:rsidP="00EE4D9B">
      <w:pPr>
        <w:spacing w:before="9"/>
        <w:ind w:left="1659" w:right="1588"/>
        <w:jc w:val="center"/>
        <w:rPr>
          <w:b/>
          <w:sz w:val="24"/>
        </w:rPr>
      </w:pPr>
      <w:proofErr w:type="spellStart"/>
      <w:r>
        <w:rPr>
          <w:b/>
          <w:sz w:val="24"/>
        </w:rPr>
        <w:t>Eğitim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Öğretim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Sınav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Uygulamaları</w:t>
      </w:r>
      <w:proofErr w:type="spellEnd"/>
    </w:p>
    <w:p w14:paraId="34C60AB7" w14:textId="77777777" w:rsidR="00C57DF4" w:rsidRDefault="00C57DF4" w:rsidP="00EE4D9B">
      <w:pPr>
        <w:pStyle w:val="GvdeMetni"/>
        <w:jc w:val="center"/>
        <w:rPr>
          <w:b/>
          <w:sz w:val="26"/>
        </w:rPr>
      </w:pPr>
    </w:p>
    <w:p w14:paraId="2C95E33A" w14:textId="77777777" w:rsidR="00C57DF4" w:rsidRDefault="002E1399" w:rsidP="00EE4D9B">
      <w:pPr>
        <w:spacing w:before="187" w:line="271" w:lineRule="exact"/>
        <w:ind w:left="128"/>
        <w:jc w:val="both"/>
        <w:rPr>
          <w:b/>
          <w:sz w:val="24"/>
        </w:rPr>
      </w:pPr>
      <w:proofErr w:type="spellStart"/>
      <w:r>
        <w:rPr>
          <w:b/>
          <w:sz w:val="24"/>
        </w:rPr>
        <w:t>Eğitim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Öğretim</w:t>
      </w:r>
      <w:proofErr w:type="spellEnd"/>
    </w:p>
    <w:p w14:paraId="0D3AEC42" w14:textId="77777777" w:rsidR="00C57DF4" w:rsidRDefault="002E1399" w:rsidP="00EE4D9B">
      <w:pPr>
        <w:pStyle w:val="GvdeMetni"/>
        <w:spacing w:line="237" w:lineRule="auto"/>
        <w:ind w:left="128" w:right="114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5 </w:t>
      </w:r>
      <w:r>
        <w:t xml:space="preserve">-(1)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,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amaçlarını</w:t>
      </w:r>
      <w:proofErr w:type="spellEnd"/>
      <w:r>
        <w:t xml:space="preserve"> </w:t>
      </w:r>
      <w:proofErr w:type="spellStart"/>
      <w:r>
        <w:t>akranlarıyla</w:t>
      </w:r>
      <w:proofErr w:type="spellEnd"/>
      <w:r>
        <w:t xml:space="preserve"> </w:t>
      </w:r>
      <w:proofErr w:type="spellStart"/>
      <w:r>
        <w:t>eş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kazanabilmesini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engelin</w:t>
      </w:r>
      <w:proofErr w:type="spellEnd"/>
      <w:r>
        <w:t xml:space="preserve"> </w:t>
      </w:r>
      <w:proofErr w:type="spellStart"/>
      <w:r>
        <w:t>doğasından</w:t>
      </w:r>
      <w:proofErr w:type="spellEnd"/>
      <w:r>
        <w:t xml:space="preserve"> </w:t>
      </w:r>
      <w:proofErr w:type="spellStart"/>
      <w:r>
        <w:t>kaynaklanan</w:t>
      </w:r>
      <w:proofErr w:type="spellEnd"/>
      <w:r>
        <w:t xml:space="preserve"> </w:t>
      </w:r>
      <w:proofErr w:type="spellStart"/>
      <w:r>
        <w:t>sınırlılıkların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aza</w:t>
      </w:r>
      <w:proofErr w:type="spellEnd"/>
      <w:r>
        <w:t xml:space="preserve"> </w:t>
      </w:r>
      <w:proofErr w:type="spellStart"/>
      <w:r>
        <w:t>indirilmesi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tedbirleri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;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ortamı</w:t>
      </w:r>
      <w:proofErr w:type="spellEnd"/>
      <w:r>
        <w:t xml:space="preserve">, </w:t>
      </w:r>
      <w:proofErr w:type="spellStart"/>
      <w:r>
        <w:t>yöntemi</w:t>
      </w:r>
      <w:proofErr w:type="spellEnd"/>
      <w:r>
        <w:t xml:space="preserve">, </w:t>
      </w:r>
      <w:proofErr w:type="spellStart"/>
      <w:r>
        <w:t>materyaller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öğrenmeyi</w:t>
      </w:r>
      <w:proofErr w:type="spellEnd"/>
      <w:r>
        <w:t xml:space="preserve"> </w:t>
      </w:r>
      <w:proofErr w:type="spellStart"/>
      <w:r>
        <w:t>etkileyen</w:t>
      </w:r>
      <w:proofErr w:type="spellEnd"/>
      <w:r>
        <w:t xml:space="preserve"> </w:t>
      </w:r>
      <w:proofErr w:type="spellStart"/>
      <w:r>
        <w:t>faktörlere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düzenleme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uyarlamaları</w:t>
      </w:r>
      <w:proofErr w:type="spellEnd"/>
      <w:r>
        <w:t xml:space="preserve"> </w:t>
      </w:r>
      <w:proofErr w:type="spellStart"/>
      <w:r>
        <w:t>Engel</w:t>
      </w:r>
      <w:r>
        <w:t>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Birimi'nin</w:t>
      </w:r>
      <w:proofErr w:type="spellEnd"/>
      <w:r>
        <w:t xml:space="preserve"> </w:t>
      </w:r>
      <w:proofErr w:type="spellStart"/>
      <w:r>
        <w:t>önerilerini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yapar</w:t>
      </w:r>
      <w:proofErr w:type="spellEnd"/>
      <w:r>
        <w:t>.</w:t>
      </w:r>
    </w:p>
    <w:p w14:paraId="28865EB1" w14:textId="77777777" w:rsidR="00C57DF4" w:rsidRDefault="00C57DF4" w:rsidP="00EE4D9B">
      <w:pPr>
        <w:pStyle w:val="GvdeMetni"/>
        <w:spacing w:before="4"/>
        <w:jc w:val="both"/>
        <w:rPr>
          <w:sz w:val="20"/>
        </w:rPr>
      </w:pPr>
    </w:p>
    <w:p w14:paraId="45EB876A" w14:textId="77777777" w:rsidR="00C57DF4" w:rsidRDefault="002E1399" w:rsidP="00EE4D9B">
      <w:pPr>
        <w:pStyle w:val="GvdeMetni"/>
        <w:spacing w:line="242" w:lineRule="auto"/>
        <w:ind w:left="128" w:right="111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6 </w:t>
      </w:r>
      <w:r>
        <w:t xml:space="preserve">-(1)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,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elemanının</w:t>
      </w:r>
      <w:proofErr w:type="spellEnd"/>
      <w:r>
        <w:t xml:space="preserve"> </w:t>
      </w:r>
      <w:proofErr w:type="spellStart"/>
      <w:r>
        <w:t>izniyle</w:t>
      </w:r>
      <w:proofErr w:type="spellEnd"/>
      <w:r>
        <w:t xml:space="preserve">,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materyallerle</w:t>
      </w:r>
      <w:proofErr w:type="spellEnd"/>
      <w:r>
        <w:t xml:space="preserve">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uygulamalara</w:t>
      </w:r>
      <w:proofErr w:type="spellEnd"/>
      <w:r>
        <w:t xml:space="preserve"> </w:t>
      </w:r>
      <w:proofErr w:type="spellStart"/>
      <w:r>
        <w:t>girmesi</w:t>
      </w:r>
      <w:proofErr w:type="spellEnd"/>
      <w:r>
        <w:t xml:space="preserve"> </w:t>
      </w:r>
      <w:proofErr w:type="spellStart"/>
      <w:r>
        <w:t>sağlanır</w:t>
      </w:r>
      <w:proofErr w:type="spellEnd"/>
      <w:r>
        <w:t>.</w:t>
      </w:r>
    </w:p>
    <w:p w14:paraId="77B6C28C" w14:textId="77777777" w:rsidR="00C57DF4" w:rsidRDefault="00C57DF4" w:rsidP="00EE4D9B">
      <w:pPr>
        <w:pStyle w:val="GvdeMetni"/>
        <w:spacing w:before="3"/>
        <w:jc w:val="both"/>
        <w:rPr>
          <w:sz w:val="21"/>
        </w:rPr>
      </w:pPr>
    </w:p>
    <w:p w14:paraId="39527B48" w14:textId="77777777" w:rsidR="00C57DF4" w:rsidRDefault="002E1399" w:rsidP="00EE4D9B">
      <w:pPr>
        <w:pStyle w:val="GvdeMetni"/>
        <w:spacing w:line="237" w:lineRule="auto"/>
        <w:ind w:left="128" w:right="113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7 </w:t>
      </w:r>
      <w:r>
        <w:t xml:space="preserve">-(1)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öğrencini</w:t>
      </w:r>
      <w:r>
        <w:t>n</w:t>
      </w:r>
      <w:proofErr w:type="spellEnd"/>
      <w:r>
        <w:t xml:space="preserve">, </w:t>
      </w:r>
      <w:proofErr w:type="spellStart"/>
      <w:r>
        <w:t>engeli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katılması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, </w:t>
      </w:r>
      <w:proofErr w:type="spellStart"/>
      <w:r>
        <w:t>uygulamalar</w:t>
      </w:r>
      <w:proofErr w:type="spellEnd"/>
      <w:r>
        <w:t xml:space="preserve">,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çalışmalardan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tutmak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öncelikle</w:t>
      </w:r>
      <w:proofErr w:type="spellEnd"/>
      <w:r>
        <w:t xml:space="preserve">,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gerekliliklerini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engeline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uyarlamak</w:t>
      </w:r>
      <w:proofErr w:type="spellEnd"/>
      <w:r>
        <w:t xml:space="preserve"> </w:t>
      </w:r>
      <w:proofErr w:type="spellStart"/>
      <w:r>
        <w:t>yoluna</w:t>
      </w:r>
      <w:proofErr w:type="spellEnd"/>
      <w:r>
        <w:t xml:space="preserve"> </w:t>
      </w:r>
      <w:proofErr w:type="spellStart"/>
      <w:r>
        <w:t>gidilir</w:t>
      </w:r>
      <w:proofErr w:type="spellEnd"/>
      <w:r>
        <w:t>.</w:t>
      </w:r>
    </w:p>
    <w:p w14:paraId="2C504DE7" w14:textId="77777777" w:rsidR="00C57DF4" w:rsidRDefault="002E1399" w:rsidP="00EE4D9B">
      <w:pPr>
        <w:pStyle w:val="GvdeMetni"/>
        <w:spacing w:before="4" w:line="237" w:lineRule="auto"/>
        <w:ind w:left="128" w:right="112" w:firstLine="580"/>
        <w:jc w:val="both"/>
      </w:pPr>
      <w:proofErr w:type="spellStart"/>
      <w:r>
        <w:t>Uyarlamanın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olamadığı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dersten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tutulması</w:t>
      </w:r>
      <w:proofErr w:type="spellEnd"/>
      <w:r>
        <w:t xml:space="preserve"> </w:t>
      </w:r>
      <w:proofErr w:type="spellStart"/>
      <w:r>
        <w:t>sağlanır</w:t>
      </w:r>
      <w:proofErr w:type="spellEnd"/>
      <w:r>
        <w:t xml:space="preserve">. </w:t>
      </w:r>
      <w:proofErr w:type="spellStart"/>
      <w:r>
        <w:t>Dersten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tutulması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,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tutulan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,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, </w:t>
      </w:r>
      <w:proofErr w:type="spellStart"/>
      <w:r>
        <w:t>akranlarıyla</w:t>
      </w:r>
      <w:proofErr w:type="spellEnd"/>
      <w:r>
        <w:t xml:space="preserve"> </w:t>
      </w:r>
      <w:proofErr w:type="spellStart"/>
      <w:r>
        <w:t>eş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yeterlilikte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imkânını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proofErr w:type="spellStart"/>
      <w:r>
        <w:t>eşdeğer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kuramsal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,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çalışmayı</w:t>
      </w:r>
      <w:proofErr w:type="spellEnd"/>
      <w:r>
        <w:t xml:space="preserve"> </w:t>
      </w:r>
      <w:proofErr w:type="spellStart"/>
      <w:r>
        <w:t>verir</w:t>
      </w:r>
      <w:proofErr w:type="spellEnd"/>
      <w:r>
        <w:t>.</w:t>
      </w:r>
    </w:p>
    <w:p w14:paraId="1FC95B1B" w14:textId="77777777" w:rsidR="00C57DF4" w:rsidRDefault="00C57DF4" w:rsidP="00EE4D9B">
      <w:pPr>
        <w:pStyle w:val="GvdeMetni"/>
        <w:spacing w:before="9"/>
        <w:jc w:val="both"/>
        <w:rPr>
          <w:sz w:val="20"/>
        </w:rPr>
      </w:pPr>
    </w:p>
    <w:p w14:paraId="0AB8D987" w14:textId="77777777" w:rsidR="00C57DF4" w:rsidRDefault="002E1399" w:rsidP="00EE4D9B">
      <w:pPr>
        <w:pStyle w:val="Balk1"/>
        <w:spacing w:before="1"/>
        <w:jc w:val="both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Uygulamaları</w:t>
      </w:r>
      <w:proofErr w:type="spellEnd"/>
    </w:p>
    <w:p w14:paraId="707DC4CA" w14:textId="77777777" w:rsidR="00C57DF4" w:rsidRDefault="002E1399" w:rsidP="00EE4D9B">
      <w:pPr>
        <w:pStyle w:val="GvdeMetni"/>
        <w:spacing w:before="2" w:line="237" w:lineRule="auto"/>
        <w:ind w:left="128" w:right="111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8 </w:t>
      </w:r>
      <w:r>
        <w:t xml:space="preserve">-(1)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ölçme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değerlendirmeye</w:t>
      </w:r>
      <w:proofErr w:type="spellEnd"/>
      <w:r>
        <w:t xml:space="preserve"> tabi </w:t>
      </w:r>
      <w:proofErr w:type="spellStart"/>
      <w:r>
        <w:t>tutulmasında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talebi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, </w:t>
      </w:r>
      <w:proofErr w:type="spellStart"/>
      <w:r>
        <w:t>engelin</w:t>
      </w:r>
      <w:proofErr w:type="spellEnd"/>
      <w:r>
        <w:t xml:space="preserve"> </w:t>
      </w:r>
      <w:proofErr w:type="spellStart"/>
      <w:r>
        <w:t>doğasından</w:t>
      </w:r>
      <w:proofErr w:type="spellEnd"/>
      <w:r>
        <w:t xml:space="preserve"> </w:t>
      </w:r>
      <w:proofErr w:type="spellStart"/>
      <w:r>
        <w:t>k</w:t>
      </w:r>
      <w:r>
        <w:t>aynaklanan</w:t>
      </w:r>
      <w:proofErr w:type="spellEnd"/>
      <w:r>
        <w:t xml:space="preserve"> </w:t>
      </w:r>
      <w:proofErr w:type="spellStart"/>
      <w:r>
        <w:t>sınırlılıkların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</w:t>
      </w:r>
      <w:proofErr w:type="spellStart"/>
      <w:r>
        <w:t>taşıyan</w:t>
      </w:r>
      <w:proofErr w:type="spellEnd"/>
      <w:r>
        <w:rPr>
          <w:spacing w:val="-12"/>
        </w:rPr>
        <w:t xml:space="preserve"> </w:t>
      </w:r>
      <w:proofErr w:type="spellStart"/>
      <w:r>
        <w:t>mekânda</w:t>
      </w:r>
      <w:proofErr w:type="spellEnd"/>
      <w:r>
        <w:rPr>
          <w:spacing w:val="-12"/>
        </w:rPr>
        <w:t xml:space="preserve"> </w:t>
      </w:r>
      <w:proofErr w:type="spellStart"/>
      <w:r>
        <w:t>ve</w:t>
      </w:r>
      <w:proofErr w:type="spellEnd"/>
      <w:r>
        <w:rPr>
          <w:spacing w:val="-13"/>
        </w:rPr>
        <w:t xml:space="preserve"> </w:t>
      </w:r>
      <w:proofErr w:type="spellStart"/>
      <w:r>
        <w:t>refakatçi</w:t>
      </w:r>
      <w:proofErr w:type="spellEnd"/>
      <w:r>
        <w:rPr>
          <w:spacing w:val="-11"/>
        </w:rPr>
        <w:t xml:space="preserve"> </w:t>
      </w:r>
      <w:proofErr w:type="spellStart"/>
      <w:r>
        <w:t>öğretim</w:t>
      </w:r>
      <w:proofErr w:type="spellEnd"/>
      <w:r>
        <w:rPr>
          <w:spacing w:val="-12"/>
        </w:rPr>
        <w:t xml:space="preserve"> </w:t>
      </w:r>
      <w:proofErr w:type="spellStart"/>
      <w:r>
        <w:t>elemanı</w:t>
      </w:r>
      <w:proofErr w:type="spellEnd"/>
      <w:r>
        <w:rPr>
          <w:spacing w:val="-11"/>
        </w:rPr>
        <w:t xml:space="preserve"> </w:t>
      </w:r>
      <w:proofErr w:type="spellStart"/>
      <w:r>
        <w:t>ile</w:t>
      </w:r>
      <w:proofErr w:type="spellEnd"/>
      <w:r>
        <w:rPr>
          <w:spacing w:val="-12"/>
        </w:rPr>
        <w:t xml:space="preserve"> </w:t>
      </w:r>
      <w:proofErr w:type="spellStart"/>
      <w:r>
        <w:t>sınava</w:t>
      </w:r>
      <w:proofErr w:type="spellEnd"/>
      <w:r>
        <w:rPr>
          <w:spacing w:val="-11"/>
        </w:rPr>
        <w:t xml:space="preserve"> </w:t>
      </w:r>
      <w:proofErr w:type="spellStart"/>
      <w:r>
        <w:t>girmesi</w:t>
      </w:r>
      <w:proofErr w:type="spellEnd"/>
      <w:r>
        <w:rPr>
          <w:spacing w:val="-10"/>
        </w:rPr>
        <w:t xml:space="preserve"> </w:t>
      </w:r>
      <w:proofErr w:type="spellStart"/>
      <w:r>
        <w:t>ayrıca</w:t>
      </w:r>
      <w:proofErr w:type="spellEnd"/>
      <w:r>
        <w:rPr>
          <w:spacing w:val="-11"/>
        </w:rPr>
        <w:t xml:space="preserve"> </w:t>
      </w:r>
      <w:proofErr w:type="spellStart"/>
      <w:r>
        <w:t>gerekli</w:t>
      </w:r>
      <w:proofErr w:type="spellEnd"/>
      <w:r>
        <w:rPr>
          <w:spacing w:val="-10"/>
        </w:rPr>
        <w:t xml:space="preserve"> </w:t>
      </w:r>
      <w:proofErr w:type="spellStart"/>
      <w:r>
        <w:t>diğer</w:t>
      </w:r>
      <w:proofErr w:type="spellEnd"/>
      <w:r>
        <w:rPr>
          <w:spacing w:val="-8"/>
        </w:rPr>
        <w:t xml:space="preserve"> </w:t>
      </w:r>
      <w:proofErr w:type="spellStart"/>
      <w:r>
        <w:t>tedbirlerin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düzenlemelerin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elemanın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2"/>
        </w:rPr>
        <w:t xml:space="preserve"> </w:t>
      </w:r>
      <w:proofErr w:type="spellStart"/>
      <w:r>
        <w:t>sağlanır</w:t>
      </w:r>
      <w:proofErr w:type="spellEnd"/>
      <w:r>
        <w:t>.</w:t>
      </w:r>
    </w:p>
    <w:p w14:paraId="23F374CB" w14:textId="77777777" w:rsidR="00C57DF4" w:rsidRDefault="002E1399" w:rsidP="00EE4D9B">
      <w:pPr>
        <w:pStyle w:val="ListeParagraf"/>
        <w:numPr>
          <w:ilvl w:val="0"/>
          <w:numId w:val="1"/>
        </w:numPr>
        <w:tabs>
          <w:tab w:val="left" w:pos="467"/>
        </w:tabs>
        <w:spacing w:line="276" w:lineRule="exact"/>
        <w:jc w:val="both"/>
        <w:rPr>
          <w:sz w:val="24"/>
        </w:rPr>
      </w:pP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tedbirler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düzenlemeler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üniversitenin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mevcut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olanakları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kullanılarak</w:t>
      </w:r>
      <w:proofErr w:type="spellEnd"/>
      <w:r>
        <w:rPr>
          <w:sz w:val="24"/>
        </w:rPr>
        <w:t>,</w:t>
      </w:r>
    </w:p>
    <w:p w14:paraId="4DD44984" w14:textId="77777777" w:rsidR="00C57DF4" w:rsidRDefault="002E1399" w:rsidP="00EE4D9B">
      <w:pPr>
        <w:pStyle w:val="ListeParagraf"/>
        <w:numPr>
          <w:ilvl w:val="1"/>
          <w:numId w:val="1"/>
        </w:numPr>
        <w:tabs>
          <w:tab w:val="left" w:pos="1246"/>
          <w:tab w:val="left" w:pos="1247"/>
        </w:tabs>
        <w:spacing w:before="3" w:line="237" w:lineRule="auto"/>
        <w:ind w:right="111" w:hanging="560"/>
        <w:jc w:val="both"/>
        <w:rPr>
          <w:sz w:val="24"/>
        </w:rPr>
      </w:pPr>
      <w:proofErr w:type="spellStart"/>
      <w:r>
        <w:rPr>
          <w:sz w:val="24"/>
        </w:rPr>
        <w:t>Engelli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engeline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almasının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  <w:r>
        <w:rPr>
          <w:sz w:val="24"/>
        </w:rPr>
        <w:t>;</w:t>
      </w:r>
    </w:p>
    <w:p w14:paraId="64152883" w14:textId="77777777" w:rsidR="00C57DF4" w:rsidRDefault="002E1399" w:rsidP="00EE4D9B">
      <w:pPr>
        <w:pStyle w:val="ListeParagraf"/>
        <w:numPr>
          <w:ilvl w:val="1"/>
          <w:numId w:val="1"/>
        </w:numPr>
        <w:tabs>
          <w:tab w:val="left" w:pos="1249"/>
          <w:tab w:val="left" w:pos="1250"/>
        </w:tabs>
        <w:spacing w:line="237" w:lineRule="auto"/>
        <w:ind w:right="116" w:hanging="560"/>
        <w:jc w:val="both"/>
        <w:rPr>
          <w:sz w:val="24"/>
        </w:rPr>
      </w:pPr>
      <w:proofErr w:type="spellStart"/>
      <w:r>
        <w:rPr>
          <w:sz w:val="24"/>
        </w:rPr>
        <w:t>Görme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engelli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refakatçi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gözetiminde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salonunda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>;</w:t>
      </w:r>
    </w:p>
    <w:p w14:paraId="1AC02872" w14:textId="77777777" w:rsidR="00C57DF4" w:rsidRDefault="002E1399" w:rsidP="00EE4D9B">
      <w:pPr>
        <w:pStyle w:val="ListeParagraf"/>
        <w:numPr>
          <w:ilvl w:val="1"/>
          <w:numId w:val="1"/>
        </w:numPr>
        <w:tabs>
          <w:tab w:val="left" w:pos="1249"/>
          <w:tab w:val="left" w:pos="1250"/>
        </w:tabs>
        <w:spacing w:line="273" w:lineRule="exact"/>
        <w:ind w:hanging="560"/>
        <w:jc w:val="both"/>
        <w:rPr>
          <w:sz w:val="24"/>
        </w:rPr>
      </w:pPr>
      <w:r>
        <w:rPr>
          <w:sz w:val="24"/>
        </w:rPr>
        <w:t xml:space="preserve">Az </w:t>
      </w:r>
      <w:proofErr w:type="spellStart"/>
      <w:r>
        <w:rPr>
          <w:sz w:val="24"/>
        </w:rPr>
        <w:t>görenler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A3 </w:t>
      </w:r>
      <w:proofErr w:type="spellStart"/>
      <w:r>
        <w:rPr>
          <w:sz w:val="24"/>
        </w:rPr>
        <w:t>kağıda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büyük</w:t>
      </w:r>
      <w:proofErr w:type="spellEnd"/>
      <w:r>
        <w:rPr>
          <w:sz w:val="24"/>
        </w:rPr>
        <w:t xml:space="preserve"> punt</w:t>
      </w:r>
      <w:r>
        <w:rPr>
          <w:sz w:val="24"/>
        </w:rPr>
        <w:t xml:space="preserve">o </w:t>
      </w:r>
      <w:proofErr w:type="spellStart"/>
      <w:r>
        <w:rPr>
          <w:sz w:val="24"/>
        </w:rPr>
        <w:t>dokümanlar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hazırlanması</w:t>
      </w:r>
      <w:proofErr w:type="spellEnd"/>
      <w:r>
        <w:rPr>
          <w:sz w:val="24"/>
        </w:rPr>
        <w:t>;</w:t>
      </w:r>
    </w:p>
    <w:p w14:paraId="58DC64BF" w14:textId="127E9A2F" w:rsidR="00C57DF4" w:rsidRDefault="002E1399" w:rsidP="00EE4D9B">
      <w:pPr>
        <w:pStyle w:val="GvdeMetni"/>
        <w:ind w:left="1249" w:right="107" w:hanging="560"/>
        <w:jc w:val="both"/>
      </w:pPr>
      <w:proofErr w:type="gramStart"/>
      <w:r>
        <w:t xml:space="preserve">ç) </w:t>
      </w:r>
      <w:r w:rsidR="00EE4D9B">
        <w:t xml:space="preserve">  </w:t>
      </w:r>
      <w:proofErr w:type="gramEnd"/>
      <w:r w:rsidR="00EE4D9B">
        <w:t xml:space="preserve">   </w:t>
      </w:r>
      <w:proofErr w:type="spellStart"/>
      <w:r>
        <w:t>Bedensel</w:t>
      </w:r>
      <w:proofErr w:type="spellEnd"/>
      <w:r>
        <w:t xml:space="preserve">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ulaşılabilirliğinin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mekânlarda</w:t>
      </w:r>
      <w:proofErr w:type="spellEnd"/>
      <w:r>
        <w:t xml:space="preserve">, </w:t>
      </w:r>
      <w:proofErr w:type="spellStart"/>
      <w:r>
        <w:t>sınavlarının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katında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>;</w:t>
      </w:r>
    </w:p>
    <w:p w14:paraId="1A11CA3B" w14:textId="77777777" w:rsidR="00C57DF4" w:rsidRDefault="002E1399" w:rsidP="00EE4D9B">
      <w:pPr>
        <w:pStyle w:val="ListeParagraf"/>
        <w:numPr>
          <w:ilvl w:val="1"/>
          <w:numId w:val="1"/>
        </w:numPr>
        <w:tabs>
          <w:tab w:val="left" w:pos="1246"/>
          <w:tab w:val="left" w:pos="1247"/>
        </w:tabs>
        <w:spacing w:line="237" w:lineRule="auto"/>
        <w:ind w:right="114" w:hanging="560"/>
        <w:jc w:val="both"/>
        <w:rPr>
          <w:sz w:val="24"/>
        </w:rPr>
      </w:pPr>
      <w:proofErr w:type="spellStart"/>
      <w:r>
        <w:rPr>
          <w:sz w:val="24"/>
        </w:rPr>
        <w:t>Uygulamalı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katılamayacak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sınırlılıklara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engelli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mümkünse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kuramsal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>;</w:t>
      </w:r>
    </w:p>
    <w:p w14:paraId="4FB22AA4" w14:textId="77777777" w:rsidR="00C57DF4" w:rsidRDefault="00C57DF4" w:rsidP="00EE4D9B">
      <w:pPr>
        <w:spacing w:line="237" w:lineRule="auto"/>
        <w:jc w:val="both"/>
        <w:rPr>
          <w:sz w:val="24"/>
        </w:rPr>
      </w:pPr>
    </w:p>
    <w:p w14:paraId="7AF02933" w14:textId="77777777" w:rsidR="00EE4D9B" w:rsidRPr="00EE4D9B" w:rsidRDefault="00EE4D9B" w:rsidP="00EE4D9B">
      <w:pPr>
        <w:jc w:val="both"/>
        <w:rPr>
          <w:sz w:val="24"/>
        </w:rPr>
      </w:pPr>
    </w:p>
    <w:p w14:paraId="378800EB" w14:textId="5DED3830" w:rsidR="00EE4D9B" w:rsidRPr="00EE4D9B" w:rsidRDefault="00EE4D9B" w:rsidP="00EE4D9B">
      <w:pPr>
        <w:tabs>
          <w:tab w:val="left" w:pos="780"/>
        </w:tabs>
        <w:jc w:val="both"/>
        <w:rPr>
          <w:sz w:val="24"/>
        </w:rPr>
        <w:sectPr w:rsidR="00EE4D9B" w:rsidRPr="00EE4D9B">
          <w:pgSz w:w="11910" w:h="16840"/>
          <w:pgMar w:top="1200" w:right="1320" w:bottom="280" w:left="1300" w:header="708" w:footer="708" w:gutter="0"/>
          <w:cols w:space="708"/>
        </w:sectPr>
      </w:pPr>
    </w:p>
    <w:p w14:paraId="7797F5C9" w14:textId="77777777" w:rsidR="00C57DF4" w:rsidRDefault="002E1399" w:rsidP="00EE4D9B">
      <w:pPr>
        <w:pStyle w:val="ListeParagraf"/>
        <w:numPr>
          <w:ilvl w:val="1"/>
          <w:numId w:val="1"/>
        </w:numPr>
        <w:tabs>
          <w:tab w:val="left" w:pos="1250"/>
        </w:tabs>
        <w:spacing w:before="69" w:line="237" w:lineRule="auto"/>
        <w:ind w:right="114" w:hanging="560"/>
        <w:jc w:val="both"/>
        <w:rPr>
          <w:sz w:val="24"/>
        </w:rPr>
      </w:pPr>
      <w:proofErr w:type="spellStart"/>
      <w:r>
        <w:rPr>
          <w:sz w:val="24"/>
        </w:rPr>
        <w:lastRenderedPageBreak/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güçlüğü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mümkünse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da </w:t>
      </w:r>
      <w:proofErr w:type="spellStart"/>
      <w:r>
        <w:rPr>
          <w:sz w:val="24"/>
        </w:rPr>
        <w:t>sözlü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alınması</w:t>
      </w:r>
      <w:proofErr w:type="spellEnd"/>
      <w:r>
        <w:rPr>
          <w:sz w:val="24"/>
        </w:rPr>
        <w:t>;</w:t>
      </w:r>
    </w:p>
    <w:p w14:paraId="1BBD05A0" w14:textId="77777777" w:rsidR="00C57DF4" w:rsidRDefault="002E1399" w:rsidP="00EE4D9B">
      <w:pPr>
        <w:pStyle w:val="ListeParagraf"/>
        <w:numPr>
          <w:ilvl w:val="1"/>
          <w:numId w:val="1"/>
        </w:numPr>
        <w:tabs>
          <w:tab w:val="left" w:pos="1250"/>
        </w:tabs>
        <w:spacing w:before="1" w:line="237" w:lineRule="auto"/>
        <w:ind w:right="113" w:hanging="560"/>
        <w:jc w:val="both"/>
        <w:rPr>
          <w:sz w:val="24"/>
        </w:rPr>
      </w:pPr>
      <w:proofErr w:type="spellStart"/>
      <w:r>
        <w:rPr>
          <w:sz w:val="24"/>
        </w:rPr>
        <w:t>Öğrenme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güçlüğü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dikkat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hiperaktivite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bozukluğu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dağıtıcı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unsurların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ortamlarda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girmeleri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sınava</w:t>
      </w:r>
      <w:proofErr w:type="spellEnd"/>
      <w:r>
        <w:rPr>
          <w:sz w:val="24"/>
        </w:rPr>
        <w:t xml:space="preserve"> tabi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tutulması</w:t>
      </w:r>
      <w:proofErr w:type="spellEnd"/>
      <w:r>
        <w:rPr>
          <w:sz w:val="24"/>
        </w:rPr>
        <w:t>;</w:t>
      </w:r>
    </w:p>
    <w:p w14:paraId="3D8D8A4A" w14:textId="77777777" w:rsidR="00C57DF4" w:rsidRDefault="002E1399" w:rsidP="00EE4D9B">
      <w:pPr>
        <w:pStyle w:val="GvdeMetni"/>
        <w:spacing w:before="2"/>
        <w:ind w:left="1249"/>
        <w:jc w:val="both"/>
      </w:pPr>
      <w:proofErr w:type="spellStart"/>
      <w:r>
        <w:t>ve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şekillerde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14:paraId="79FF1770" w14:textId="77777777" w:rsidR="00C57DF4" w:rsidRDefault="002E1399" w:rsidP="00EE4D9B">
      <w:pPr>
        <w:pStyle w:val="Balk1"/>
        <w:spacing w:before="225" w:line="271" w:lineRule="exact"/>
        <w:ind w:left="109"/>
        <w:jc w:val="both"/>
      </w:pPr>
      <w:proofErr w:type="spellStart"/>
      <w:r>
        <w:t>Engelli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Birimi</w:t>
      </w:r>
      <w:proofErr w:type="spellEnd"/>
      <w:r>
        <w:t xml:space="preserve"> </w:t>
      </w:r>
      <w:proofErr w:type="spellStart"/>
      <w:r>
        <w:t>Danışmanlık</w:t>
      </w:r>
      <w:proofErr w:type="spellEnd"/>
      <w:r>
        <w:t xml:space="preserve"> </w:t>
      </w:r>
      <w:proofErr w:type="spellStart"/>
      <w:r>
        <w:t>Hizmeti</w:t>
      </w:r>
      <w:proofErr w:type="spellEnd"/>
    </w:p>
    <w:p w14:paraId="4A332CBB" w14:textId="77777777" w:rsidR="00C57DF4" w:rsidRDefault="002E1399" w:rsidP="00EE4D9B">
      <w:pPr>
        <w:pStyle w:val="GvdeMetni"/>
        <w:spacing w:line="237" w:lineRule="auto"/>
        <w:ind w:left="109" w:right="216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9 </w:t>
      </w:r>
      <w:r>
        <w:t xml:space="preserve">-(1) </w:t>
      </w:r>
      <w:proofErr w:type="spellStart"/>
      <w:r>
        <w:t>Yönergede</w:t>
      </w:r>
      <w:proofErr w:type="spellEnd"/>
      <w:r>
        <w:t xml:space="preserve"> </w:t>
      </w:r>
      <w:proofErr w:type="spellStart"/>
      <w:r>
        <w:t>belirtilmeyen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birimler</w:t>
      </w:r>
      <w:proofErr w:type="spellEnd"/>
      <w:r>
        <w:t xml:space="preserve">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Biriminden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danışmanlık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alır</w:t>
      </w:r>
      <w:proofErr w:type="spellEnd"/>
      <w:r>
        <w:t>.</w:t>
      </w:r>
    </w:p>
    <w:p w14:paraId="2847E451" w14:textId="77777777" w:rsidR="00C57DF4" w:rsidRDefault="00C57DF4" w:rsidP="00EE4D9B">
      <w:pPr>
        <w:pStyle w:val="GvdeMetni"/>
        <w:jc w:val="both"/>
        <w:rPr>
          <w:sz w:val="26"/>
        </w:rPr>
      </w:pPr>
    </w:p>
    <w:p w14:paraId="690EBDDB" w14:textId="77777777" w:rsidR="00C57DF4" w:rsidRDefault="00C57DF4" w:rsidP="00EE4D9B">
      <w:pPr>
        <w:pStyle w:val="GvdeMetni"/>
        <w:spacing w:before="7"/>
        <w:jc w:val="both"/>
        <w:rPr>
          <w:sz w:val="20"/>
        </w:rPr>
      </w:pPr>
    </w:p>
    <w:p w14:paraId="759670DE" w14:textId="77777777" w:rsidR="00C57DF4" w:rsidRDefault="002E1399" w:rsidP="00EE4D9B">
      <w:pPr>
        <w:pStyle w:val="Balk1"/>
        <w:spacing w:line="275" w:lineRule="exact"/>
        <w:ind w:left="1659" w:right="1169"/>
        <w:jc w:val="center"/>
      </w:pPr>
      <w:r>
        <w:t>ÜÇÜNCÜ BÖLÜM</w:t>
      </w:r>
    </w:p>
    <w:p w14:paraId="2774ED96" w14:textId="77777777" w:rsidR="00C57DF4" w:rsidRDefault="002E1399" w:rsidP="00EE4D9B">
      <w:pPr>
        <w:spacing w:line="275" w:lineRule="exact"/>
        <w:ind w:left="1659" w:right="1170"/>
        <w:jc w:val="center"/>
        <w:rPr>
          <w:b/>
          <w:sz w:val="24"/>
        </w:rPr>
      </w:pPr>
      <w:proofErr w:type="spellStart"/>
      <w:r>
        <w:rPr>
          <w:b/>
          <w:sz w:val="24"/>
        </w:rPr>
        <w:t>Çeşitli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Son </w:t>
      </w:r>
      <w:proofErr w:type="spellStart"/>
      <w:r>
        <w:rPr>
          <w:b/>
          <w:sz w:val="24"/>
        </w:rPr>
        <w:t>Hükümler</w:t>
      </w:r>
      <w:proofErr w:type="spellEnd"/>
    </w:p>
    <w:p w14:paraId="4BCB4D90" w14:textId="77777777" w:rsidR="00C57DF4" w:rsidRDefault="00C57DF4" w:rsidP="00EE4D9B">
      <w:pPr>
        <w:pStyle w:val="GvdeMetni"/>
        <w:spacing w:before="7"/>
        <w:jc w:val="both"/>
        <w:rPr>
          <w:b/>
          <w:sz w:val="23"/>
        </w:rPr>
      </w:pPr>
    </w:p>
    <w:p w14:paraId="516B5E62" w14:textId="77777777" w:rsidR="00C57DF4" w:rsidRDefault="002E1399" w:rsidP="00EE4D9B">
      <w:pPr>
        <w:ind w:left="109"/>
        <w:jc w:val="both"/>
        <w:rPr>
          <w:b/>
          <w:sz w:val="24"/>
        </w:rPr>
      </w:pPr>
      <w:proofErr w:type="spellStart"/>
      <w:r>
        <w:rPr>
          <w:b/>
          <w:sz w:val="24"/>
        </w:rPr>
        <w:t>Hüküm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Bulunmayan</w:t>
      </w:r>
      <w:proofErr w:type="spellEnd"/>
      <w:r>
        <w:rPr>
          <w:b/>
          <w:sz w:val="24"/>
        </w:rPr>
        <w:t xml:space="preserve"> Haller</w:t>
      </w:r>
    </w:p>
    <w:p w14:paraId="1F10C3F9" w14:textId="77777777" w:rsidR="00C57DF4" w:rsidRDefault="002E1399" w:rsidP="00EE4D9B">
      <w:pPr>
        <w:pStyle w:val="GvdeMetni"/>
        <w:spacing w:before="3" w:line="237" w:lineRule="auto"/>
        <w:ind w:left="109" w:right="249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10 - </w:t>
      </w:r>
      <w:r>
        <w:t xml:space="preserve">(1) Bu </w:t>
      </w:r>
      <w:proofErr w:type="spellStart"/>
      <w:r>
        <w:t>Yönergede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yasa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yönetmeliklerdeki</w:t>
      </w:r>
      <w:proofErr w:type="spellEnd"/>
      <w:r>
        <w:t xml:space="preserve"> </w:t>
      </w:r>
      <w:proofErr w:type="spellStart"/>
      <w:r>
        <w:t>hükümler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</w:t>
      </w:r>
    </w:p>
    <w:p w14:paraId="613AF049" w14:textId="77777777" w:rsidR="00C57DF4" w:rsidRDefault="00C57DF4" w:rsidP="00EE4D9B">
      <w:pPr>
        <w:pStyle w:val="GvdeMetni"/>
        <w:spacing w:before="7"/>
        <w:jc w:val="both"/>
        <w:rPr>
          <w:sz w:val="23"/>
        </w:rPr>
      </w:pPr>
    </w:p>
    <w:p w14:paraId="2D210FA4" w14:textId="77777777" w:rsidR="00C57DF4" w:rsidRDefault="002E1399" w:rsidP="00EE4D9B">
      <w:pPr>
        <w:pStyle w:val="Balk1"/>
        <w:spacing w:line="275" w:lineRule="exact"/>
        <w:ind w:left="109"/>
        <w:jc w:val="both"/>
      </w:pPr>
      <w:proofErr w:type="spellStart"/>
      <w:r>
        <w:t>Yürürlük</w:t>
      </w:r>
      <w:proofErr w:type="spellEnd"/>
    </w:p>
    <w:p w14:paraId="6861C85D" w14:textId="0BFA5D61" w:rsidR="00C57DF4" w:rsidRDefault="002E1399" w:rsidP="00EE4D9B">
      <w:pPr>
        <w:pStyle w:val="GvdeMetni"/>
        <w:spacing w:before="2" w:line="237" w:lineRule="auto"/>
        <w:ind w:left="109" w:right="396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11 - (</w:t>
      </w:r>
      <w:r>
        <w:t xml:space="preserve">1) Bu </w:t>
      </w:r>
      <w:proofErr w:type="spellStart"/>
      <w:r>
        <w:t>Yönerge</w:t>
      </w:r>
      <w:proofErr w:type="spellEnd"/>
      <w:r>
        <w:t xml:space="preserve">, </w:t>
      </w:r>
      <w:proofErr w:type="spellStart"/>
      <w:r w:rsidR="00EE4D9B">
        <w:t>Tekirdağ</w:t>
      </w:r>
      <w:proofErr w:type="spellEnd"/>
      <w:r w:rsidR="00EE4D9B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Senatosu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tarihte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0A50840F" w14:textId="77777777" w:rsidR="00C57DF4" w:rsidRDefault="00C57DF4" w:rsidP="00EE4D9B">
      <w:pPr>
        <w:pStyle w:val="GvdeMetni"/>
        <w:spacing w:before="9"/>
        <w:jc w:val="both"/>
        <w:rPr>
          <w:sz w:val="23"/>
        </w:rPr>
      </w:pPr>
    </w:p>
    <w:p w14:paraId="4DE6F8FB" w14:textId="77777777" w:rsidR="00C57DF4" w:rsidRDefault="002E1399" w:rsidP="00EE4D9B">
      <w:pPr>
        <w:pStyle w:val="Balk1"/>
        <w:spacing w:before="1" w:line="275" w:lineRule="exact"/>
        <w:ind w:left="109"/>
        <w:jc w:val="both"/>
      </w:pPr>
      <w:proofErr w:type="spellStart"/>
      <w:r>
        <w:t>Yürütme</w:t>
      </w:r>
      <w:proofErr w:type="spellEnd"/>
    </w:p>
    <w:p w14:paraId="30EAA49A" w14:textId="52DB1977" w:rsidR="00C57DF4" w:rsidRDefault="002E1399" w:rsidP="00EE4D9B">
      <w:pPr>
        <w:pStyle w:val="GvdeMetni"/>
        <w:spacing w:line="275" w:lineRule="exact"/>
        <w:ind w:left="109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12 - </w:t>
      </w:r>
      <w:r>
        <w:t xml:space="preserve">(1) 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 w:rsidR="00EE4D9B">
        <w:t>Tekirdağ</w:t>
      </w:r>
      <w:proofErr w:type="spellEnd"/>
      <w:r w:rsidR="00EE4D9B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Rektörü</w:t>
      </w:r>
      <w:proofErr w:type="spellEnd"/>
      <w:r>
        <w:t xml:space="preserve"> </w:t>
      </w:r>
      <w:proofErr w:type="spellStart"/>
      <w:r>
        <w:t>yürütür</w:t>
      </w:r>
      <w:proofErr w:type="spellEnd"/>
      <w:r>
        <w:t>.</w:t>
      </w:r>
    </w:p>
    <w:p w14:paraId="079E1668" w14:textId="56CE3ECA" w:rsidR="00EE4D9B" w:rsidRDefault="00EE4D9B" w:rsidP="00EE4D9B">
      <w:pPr>
        <w:pStyle w:val="GvdeMetni"/>
        <w:spacing w:line="275" w:lineRule="exact"/>
        <w:ind w:left="109"/>
        <w:jc w:val="both"/>
      </w:pPr>
    </w:p>
    <w:p w14:paraId="414BAF43" w14:textId="3F35A65F" w:rsidR="00EE4D9B" w:rsidRDefault="00EE4D9B" w:rsidP="00EE4D9B">
      <w:pPr>
        <w:pStyle w:val="GvdeMetni"/>
        <w:spacing w:line="275" w:lineRule="exact"/>
        <w:ind w:left="109"/>
        <w:jc w:val="both"/>
      </w:pPr>
    </w:p>
    <w:p w14:paraId="083C4E67" w14:textId="0C986843" w:rsidR="00EE4D9B" w:rsidRDefault="00EE4D9B" w:rsidP="00EE4D9B">
      <w:pPr>
        <w:pStyle w:val="GvdeMetni"/>
        <w:spacing w:line="275" w:lineRule="exact"/>
        <w:ind w:left="109"/>
        <w:jc w:val="both"/>
      </w:pPr>
    </w:p>
    <w:p w14:paraId="4DE49793" w14:textId="77777777" w:rsidR="00EE4D9B" w:rsidRDefault="00EE4D9B" w:rsidP="00EE4D9B">
      <w:pPr>
        <w:pStyle w:val="GvdeMetni"/>
        <w:spacing w:line="275" w:lineRule="exact"/>
        <w:ind w:left="109"/>
        <w:jc w:val="both"/>
      </w:pPr>
    </w:p>
    <w:p w14:paraId="0E96C8FB" w14:textId="49A8F8E2" w:rsidR="00EE4D9B" w:rsidRDefault="00EE4D9B" w:rsidP="00EE4D9B">
      <w:pPr>
        <w:pStyle w:val="GvdeMetni"/>
        <w:spacing w:line="275" w:lineRule="exact"/>
        <w:ind w:left="109"/>
        <w:jc w:val="both"/>
      </w:pPr>
    </w:p>
    <w:p w14:paraId="7260DCAD" w14:textId="08FECC3E" w:rsidR="00EE4D9B" w:rsidRDefault="00EE4D9B" w:rsidP="00EE4D9B">
      <w:pPr>
        <w:pStyle w:val="GvdeMetni"/>
        <w:spacing w:line="275" w:lineRule="exact"/>
        <w:ind w:left="109"/>
        <w:jc w:val="both"/>
      </w:pPr>
    </w:p>
    <w:p w14:paraId="31EE0F83" w14:textId="6C53CB0C" w:rsidR="00EE4D9B" w:rsidRDefault="00EE4D9B" w:rsidP="00EE4D9B">
      <w:pPr>
        <w:pStyle w:val="GvdeMetni"/>
        <w:spacing w:line="275" w:lineRule="exact"/>
        <w:ind w:left="109"/>
        <w:jc w:val="both"/>
      </w:pPr>
      <w:r>
        <w:t>*</w:t>
      </w:r>
      <w:proofErr w:type="spellStart"/>
      <w:r>
        <w:t>Yürürlük</w:t>
      </w:r>
      <w:proofErr w:type="spellEnd"/>
      <w:r>
        <w:t xml:space="preserve"> </w:t>
      </w:r>
      <w:proofErr w:type="spellStart"/>
      <w:r>
        <w:t>Tarihi</w:t>
      </w:r>
      <w:proofErr w:type="spellEnd"/>
      <w:r>
        <w:t>: 28.12.2012</w:t>
      </w:r>
    </w:p>
    <w:p w14:paraId="0B9AE9FF" w14:textId="68FFFA63" w:rsidR="00EE4D9B" w:rsidRDefault="00EE4D9B" w:rsidP="00EE4D9B">
      <w:pPr>
        <w:pStyle w:val="GvdeMetni"/>
        <w:spacing w:line="275" w:lineRule="exact"/>
        <w:ind w:left="109"/>
        <w:jc w:val="both"/>
      </w:pPr>
      <w:r>
        <w:t>*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: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Birimi</w:t>
      </w:r>
      <w:proofErr w:type="spellEnd"/>
    </w:p>
    <w:sectPr w:rsidR="00EE4D9B">
      <w:pgSz w:w="11910" w:h="16840"/>
      <w:pgMar w:top="12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B0AF5"/>
    <w:multiLevelType w:val="hybridMultilevel"/>
    <w:tmpl w:val="12BC2D3A"/>
    <w:lvl w:ilvl="0" w:tplc="96664906">
      <w:start w:val="2"/>
      <w:numFmt w:val="decimal"/>
      <w:lvlText w:val="(%1)"/>
      <w:lvlJc w:val="left"/>
      <w:pPr>
        <w:ind w:left="466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E22A05D2">
      <w:start w:val="1"/>
      <w:numFmt w:val="lowerLetter"/>
      <w:lvlText w:val="%2)"/>
      <w:lvlJc w:val="left"/>
      <w:pPr>
        <w:ind w:left="1249" w:hanging="5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98766C76">
      <w:numFmt w:val="bullet"/>
      <w:lvlText w:val="•"/>
      <w:lvlJc w:val="left"/>
      <w:pPr>
        <w:ind w:left="2133" w:hanging="557"/>
      </w:pPr>
      <w:rPr>
        <w:rFonts w:hint="default"/>
        <w:lang w:val="en-US" w:eastAsia="en-US" w:bidi="en-US"/>
      </w:rPr>
    </w:lvl>
    <w:lvl w:ilvl="3" w:tplc="75C81C80">
      <w:numFmt w:val="bullet"/>
      <w:lvlText w:val="•"/>
      <w:lvlJc w:val="left"/>
      <w:pPr>
        <w:ind w:left="3027" w:hanging="557"/>
      </w:pPr>
      <w:rPr>
        <w:rFonts w:hint="default"/>
        <w:lang w:val="en-US" w:eastAsia="en-US" w:bidi="en-US"/>
      </w:rPr>
    </w:lvl>
    <w:lvl w:ilvl="4" w:tplc="9B127110">
      <w:numFmt w:val="bullet"/>
      <w:lvlText w:val="•"/>
      <w:lvlJc w:val="left"/>
      <w:pPr>
        <w:ind w:left="3921" w:hanging="557"/>
      </w:pPr>
      <w:rPr>
        <w:rFonts w:hint="default"/>
        <w:lang w:val="en-US" w:eastAsia="en-US" w:bidi="en-US"/>
      </w:rPr>
    </w:lvl>
    <w:lvl w:ilvl="5" w:tplc="D7E2B4BC">
      <w:numFmt w:val="bullet"/>
      <w:lvlText w:val="•"/>
      <w:lvlJc w:val="left"/>
      <w:pPr>
        <w:ind w:left="4815" w:hanging="557"/>
      </w:pPr>
      <w:rPr>
        <w:rFonts w:hint="default"/>
        <w:lang w:val="en-US" w:eastAsia="en-US" w:bidi="en-US"/>
      </w:rPr>
    </w:lvl>
    <w:lvl w:ilvl="6" w:tplc="03C86DAC">
      <w:numFmt w:val="bullet"/>
      <w:lvlText w:val="•"/>
      <w:lvlJc w:val="left"/>
      <w:pPr>
        <w:ind w:left="5708" w:hanging="557"/>
      </w:pPr>
      <w:rPr>
        <w:rFonts w:hint="default"/>
        <w:lang w:val="en-US" w:eastAsia="en-US" w:bidi="en-US"/>
      </w:rPr>
    </w:lvl>
    <w:lvl w:ilvl="7" w:tplc="E7A43D60">
      <w:numFmt w:val="bullet"/>
      <w:lvlText w:val="•"/>
      <w:lvlJc w:val="left"/>
      <w:pPr>
        <w:ind w:left="6602" w:hanging="557"/>
      </w:pPr>
      <w:rPr>
        <w:rFonts w:hint="default"/>
        <w:lang w:val="en-US" w:eastAsia="en-US" w:bidi="en-US"/>
      </w:rPr>
    </w:lvl>
    <w:lvl w:ilvl="8" w:tplc="FB6CE73E">
      <w:numFmt w:val="bullet"/>
      <w:lvlText w:val="•"/>
      <w:lvlJc w:val="left"/>
      <w:pPr>
        <w:ind w:left="7496" w:hanging="557"/>
      </w:pPr>
      <w:rPr>
        <w:rFonts w:hint="default"/>
        <w:lang w:val="en-US" w:eastAsia="en-US" w:bidi="en-US"/>
      </w:rPr>
    </w:lvl>
  </w:abstractNum>
  <w:abstractNum w:abstractNumId="1" w15:restartNumberingAfterBreak="0">
    <w:nsid w:val="6F821E39"/>
    <w:multiLevelType w:val="hybridMultilevel"/>
    <w:tmpl w:val="535EC9A4"/>
    <w:lvl w:ilvl="0" w:tplc="33E406FC">
      <w:start w:val="1"/>
      <w:numFmt w:val="lowerLetter"/>
      <w:lvlText w:val="%1)"/>
      <w:lvlJc w:val="left"/>
      <w:pPr>
        <w:ind w:left="1246" w:hanging="5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C4C2B08">
      <w:numFmt w:val="bullet"/>
      <w:lvlText w:val="•"/>
      <w:lvlJc w:val="left"/>
      <w:pPr>
        <w:ind w:left="2044" w:hanging="557"/>
      </w:pPr>
      <w:rPr>
        <w:rFonts w:hint="default"/>
        <w:lang w:val="en-US" w:eastAsia="en-US" w:bidi="en-US"/>
      </w:rPr>
    </w:lvl>
    <w:lvl w:ilvl="2" w:tplc="24985E06">
      <w:numFmt w:val="bullet"/>
      <w:lvlText w:val="•"/>
      <w:lvlJc w:val="left"/>
      <w:pPr>
        <w:ind w:left="2848" w:hanging="557"/>
      </w:pPr>
      <w:rPr>
        <w:rFonts w:hint="default"/>
        <w:lang w:val="en-US" w:eastAsia="en-US" w:bidi="en-US"/>
      </w:rPr>
    </w:lvl>
    <w:lvl w:ilvl="3" w:tplc="9FE80EAC">
      <w:numFmt w:val="bullet"/>
      <w:lvlText w:val="•"/>
      <w:lvlJc w:val="left"/>
      <w:pPr>
        <w:ind w:left="3653" w:hanging="557"/>
      </w:pPr>
      <w:rPr>
        <w:rFonts w:hint="default"/>
        <w:lang w:val="en-US" w:eastAsia="en-US" w:bidi="en-US"/>
      </w:rPr>
    </w:lvl>
    <w:lvl w:ilvl="4" w:tplc="5BF2DDE0">
      <w:numFmt w:val="bullet"/>
      <w:lvlText w:val="•"/>
      <w:lvlJc w:val="left"/>
      <w:pPr>
        <w:ind w:left="4457" w:hanging="557"/>
      </w:pPr>
      <w:rPr>
        <w:rFonts w:hint="default"/>
        <w:lang w:val="en-US" w:eastAsia="en-US" w:bidi="en-US"/>
      </w:rPr>
    </w:lvl>
    <w:lvl w:ilvl="5" w:tplc="9EFE210A">
      <w:numFmt w:val="bullet"/>
      <w:lvlText w:val="•"/>
      <w:lvlJc w:val="left"/>
      <w:pPr>
        <w:ind w:left="5262" w:hanging="557"/>
      </w:pPr>
      <w:rPr>
        <w:rFonts w:hint="default"/>
        <w:lang w:val="en-US" w:eastAsia="en-US" w:bidi="en-US"/>
      </w:rPr>
    </w:lvl>
    <w:lvl w:ilvl="6" w:tplc="D00CEBDA">
      <w:numFmt w:val="bullet"/>
      <w:lvlText w:val="•"/>
      <w:lvlJc w:val="left"/>
      <w:pPr>
        <w:ind w:left="6066" w:hanging="557"/>
      </w:pPr>
      <w:rPr>
        <w:rFonts w:hint="default"/>
        <w:lang w:val="en-US" w:eastAsia="en-US" w:bidi="en-US"/>
      </w:rPr>
    </w:lvl>
    <w:lvl w:ilvl="7" w:tplc="C9CE615E">
      <w:numFmt w:val="bullet"/>
      <w:lvlText w:val="•"/>
      <w:lvlJc w:val="left"/>
      <w:pPr>
        <w:ind w:left="6870" w:hanging="557"/>
      </w:pPr>
      <w:rPr>
        <w:rFonts w:hint="default"/>
        <w:lang w:val="en-US" w:eastAsia="en-US" w:bidi="en-US"/>
      </w:rPr>
    </w:lvl>
    <w:lvl w:ilvl="8" w:tplc="BA26B27E">
      <w:numFmt w:val="bullet"/>
      <w:lvlText w:val="•"/>
      <w:lvlJc w:val="left"/>
      <w:pPr>
        <w:ind w:left="7675" w:hanging="55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F4"/>
    <w:rsid w:val="002E1399"/>
    <w:rsid w:val="00C57DF4"/>
    <w:rsid w:val="00E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F11D"/>
  <w15:docId w15:val="{A1668522-78BE-4DD0-ABD6-BAEDCE1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12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49" w:hanging="5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2021-11-08T09:46:00Z</dcterms:created>
  <dcterms:modified xsi:type="dcterms:W3CDTF">2021-11-08T09:46:00Z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