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42A7" w14:textId="77777777" w:rsidR="00511C9A" w:rsidRDefault="00511C9A" w:rsidP="00D90681">
      <w:pPr>
        <w:spacing w:after="0"/>
        <w:rPr>
          <w:rFonts w:ascii="Times New Roman" w:hAnsi="Times New Roman" w:cs="Times New Roman"/>
        </w:rPr>
      </w:pPr>
    </w:p>
    <w:tbl>
      <w:tblPr>
        <w:tblW w:w="16346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91"/>
        <w:gridCol w:w="620"/>
        <w:gridCol w:w="781"/>
        <w:gridCol w:w="1003"/>
        <w:gridCol w:w="932"/>
        <w:gridCol w:w="1043"/>
        <w:gridCol w:w="785"/>
        <w:gridCol w:w="781"/>
        <w:gridCol w:w="780"/>
        <w:gridCol w:w="1086"/>
        <w:gridCol w:w="1077"/>
        <w:gridCol w:w="815"/>
        <w:gridCol w:w="1055"/>
        <w:gridCol w:w="727"/>
        <w:gridCol w:w="1203"/>
        <w:gridCol w:w="795"/>
        <w:gridCol w:w="640"/>
        <w:gridCol w:w="894"/>
        <w:gridCol w:w="13"/>
        <w:gridCol w:w="723"/>
        <w:gridCol w:w="11"/>
      </w:tblGrid>
      <w:tr w:rsidR="008C7B6B" w:rsidRPr="008C7B6B" w14:paraId="0E24A422" w14:textId="77777777" w:rsidTr="00CF62EC">
        <w:trPr>
          <w:trHeight w:val="974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DC15D" w14:textId="77777777" w:rsidR="00E70E5F" w:rsidRPr="008C7B6B" w:rsidRDefault="00E70E5F" w:rsidP="00D9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FD4D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6187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4B86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37CA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294D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6064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94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 SUNMAKLA GÖREVLİ/ YETKİLİ KURUMLARIN/ BİRİMLERİN ADI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61C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F110F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ELEKTRONİK OLARAK SUNULUP SUNULMADIĞI</w:t>
            </w:r>
          </w:p>
        </w:tc>
      </w:tr>
      <w:tr w:rsidR="00CF62EC" w:rsidRPr="008C7B6B" w14:paraId="036714F4" w14:textId="77777777" w:rsidTr="00CF62EC">
        <w:trPr>
          <w:gridAfter w:val="1"/>
          <w:wAfter w:w="11" w:type="dxa"/>
          <w:trHeight w:val="2041"/>
        </w:trPr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5C15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028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9FCA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109A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67A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0AB1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F001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0500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MERKEZİ İDARE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BB59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TAŞRA BİRİMLERİ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2953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MAHALLİ İDARE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3F2C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DİĞER (ÖZEL SEKTÖR VB.)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62C6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BAŞVURUDA İSTENEN BELGELER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03A49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İLK BAŞVURU MAKAMI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E483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6310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KURUMUN VARSA YAPMASI GEREKEN İÇ YAZIŞMALAR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32CA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KURUMUN VARSA YAPMASI GEREKEN DIŞ YAZIŞMALAR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530C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E076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EFFF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YILLIK İŞLEM SAYISI (Tahmini)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8E41" w14:textId="77777777" w:rsidR="00E70E5F" w:rsidRPr="008C7B6B" w:rsidRDefault="00E70E5F" w:rsidP="00E7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CF62EC" w:rsidRPr="008C7B6B" w14:paraId="476A1797" w14:textId="77777777" w:rsidTr="00CF62EC">
        <w:trPr>
          <w:gridAfter w:val="1"/>
          <w:wAfter w:w="11" w:type="dxa"/>
          <w:trHeight w:val="278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B971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09EB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4C9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C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Öğrenci Yeni Kayıt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0C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Yeni kazanan öğrencilerin kayıtlarının yapılması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E4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NKÜ Üniversitesi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Lisans  Öğretim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 Sınav Yönetmeliği 7.Madde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DF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ÖSYM ile Meslek Yüksekokulumuza yerleşen öğrenciler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7C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2C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13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EF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AB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Adayın mezun olduğu ortaöğretim kurumundan aldığı diplomanın aslı veya onaylı örneği yada yeni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tarihlimezuniyet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belgesi,6 Adet </w:t>
            </w: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fotoğraf,askerlik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durum belgesi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73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 İşleri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59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C1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E7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66E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AKADEMİK Takvimde Belirtilen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süre(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İş günü)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08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5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 Günü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0C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ÖSYM Başkanlığı tarafından Meslek Yüksekokuluna kabul edilen kontenjan sayısı kadar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CA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Sunuluyor.</w:t>
            </w:r>
          </w:p>
        </w:tc>
      </w:tr>
      <w:tr w:rsidR="00CF62EC" w:rsidRPr="008C7B6B" w14:paraId="76E34E0B" w14:textId="77777777" w:rsidTr="00CF62EC">
        <w:trPr>
          <w:gridAfter w:val="1"/>
          <w:wAfter w:w="11" w:type="dxa"/>
          <w:trHeight w:val="202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7DE8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lastRenderedPageBreak/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C1101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EB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00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Yatay Geçiş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8B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Öğrencinin isteği üzerine bir başka Meslek Yüksekokulunda eğitimine devam etmek istemesi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99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Yükseköğretim Kurumları Arasında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 Lisans Düzeyinde Yatay Geçiş Esaslarına İlişkin Yönetmelik 24.madde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C8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Başka Üniversitelerin Meslek Yüksekokulları Öğrencileri ve Tüm Meslek Yüksekokulu Öğrencilerimiz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23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48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9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AA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1B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Dilekçe, Transkript, Ders İçerikleri (Onaylı) Disiplin cezası olmadığına ilişkin </w:t>
            </w: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yazı,ÖSYM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Yerleştirme Sonuç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Belgesi,Yatay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geçiş yapmasında sakınca yoktur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yazısı,Fotoğraf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5A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Yüksekokulu/ Memur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73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 </w:t>
            </w: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Memur,Program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Danışmanı ,Eğitim Öğretim Komisyonu,  Yönetim Kurulu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42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01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İlgili Üniversite Rektörlükleri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DA0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F6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Akademik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Takvim( 15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İşGünü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A2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15-20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0666" w14:textId="77777777" w:rsidR="00E70E5F" w:rsidRPr="008C7B6B" w:rsidRDefault="00E70E5F" w:rsidP="00CF62EC">
            <w:pPr>
              <w:spacing w:after="0" w:line="240" w:lineRule="auto"/>
              <w:ind w:left="-1347" w:firstLine="134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Sunuluyor.</w:t>
            </w:r>
          </w:p>
        </w:tc>
      </w:tr>
      <w:tr w:rsidR="00CF62EC" w:rsidRPr="008C7B6B" w14:paraId="32D60B54" w14:textId="77777777" w:rsidTr="00CF62EC">
        <w:trPr>
          <w:gridAfter w:val="1"/>
          <w:wAfter w:w="11" w:type="dxa"/>
          <w:trHeight w:val="188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5F7C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F69D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05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4C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 Öğrenci Kimlik Kartının Dağıtılması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64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Eğitim-Öğretim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C8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Lisans/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Sınav Yönetmeliği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08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Yüksekokulumuz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ED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83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1D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B3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D9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29A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 İşleri Memuru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12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DF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A6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5A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D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Dakika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B9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01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4F46C972" w14:textId="77777777" w:rsidTr="00CF62EC">
        <w:trPr>
          <w:gridAfter w:val="1"/>
          <w:wAfter w:w="11" w:type="dxa"/>
          <w:trHeight w:val="187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D537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877D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4B0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804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4F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Evrak ve Dosyalama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DFB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Yazışma ,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Dosyalama ve Kodlama İşlemleri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70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Konu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İle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İlgili Başbakanlığın Yönetmelik ve Genelgeleri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EA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İlgili Birimler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D8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7B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52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21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9D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Birime Gelen ve Birimden Çıkan Resmi Yazışmalar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8E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61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İlgili Memur, Yüksekokul Sekreteri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F4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C2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 aracılığı ile Kurum dışı birimler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25F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6B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Sürekli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ED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Sürekli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72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4186774E" w14:textId="77777777" w:rsidTr="00CF62EC">
        <w:trPr>
          <w:gridAfter w:val="1"/>
          <w:wAfter w:w="11" w:type="dxa"/>
          <w:trHeight w:val="18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AE8F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726D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B6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903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A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İzin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62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İdari ve Akademik Personelin Yıllık, Hastalık ve Mazeretleri kapsamında izin işlemlerinin yapılması.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A2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657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Sayılı Kanunun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ilgili Maddeleri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52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Müdürlük Personeli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68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55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74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08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A2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İzin Formu, Hastalık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İzn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. Rapor,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Ücretsz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İzinlerde Dilekçe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D4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Akademik Personel için Müdür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Yard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İdari Personel İçin Yüksekokul Sekreteri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57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Personel için Bölüm Başkanları, İdari Personel İçin Yüksekokul Sekreteri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42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 Personel Dairesi Başkanlığı, Çalışanın Kadrosunun bulunduğu birim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D31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E5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Gün İçerisinde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F7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 İş Günü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76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AB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Sunuluyor.</w:t>
            </w:r>
          </w:p>
        </w:tc>
      </w:tr>
      <w:tr w:rsidR="00CF62EC" w:rsidRPr="008C7B6B" w14:paraId="54F45332" w14:textId="77777777" w:rsidTr="00CF62EC">
        <w:trPr>
          <w:gridAfter w:val="1"/>
          <w:wAfter w:w="11" w:type="dxa"/>
          <w:trHeight w:val="2924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BC09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lastRenderedPageBreak/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8C8E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AE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930.01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11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Satın Alma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1E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4734 Sayılı Kanun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9A6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Öğrencileri, Akademik Personeli, İdari Personeli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03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8C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C2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A8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5CF" w14:textId="77777777" w:rsidR="00E70E5F" w:rsidRPr="008C7B6B" w:rsidRDefault="00E70E5F" w:rsidP="008C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Harcama Talimatı Onay Belgesi, İhtiyaç Talep Listesi, Teklif Mektupları, Piyasa Araştırma Tutanağı, Fatura,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Hakediş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Raporu, Muayene ve Kesin Kabul Tutanağı, Taşınır İşlem Fişi, Hizmet İşleri Kabul Tutanağı, Ödemeye Esas Hesap Dilekçesi, Ödeme Emri Belgesi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9B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Yüksekokul Sekreteri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09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Satınalma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Memuru, İlgili Kom. Üyeleri, Yüksekokul Sekreteri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29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 Strateji Gel. Dairesi Başkanlığı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6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İlgili Firmalar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233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15 Gün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0F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1D8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60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C7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Sunuluyor.</w:t>
            </w:r>
          </w:p>
        </w:tc>
      </w:tr>
      <w:tr w:rsidR="00CF62EC" w:rsidRPr="008C7B6B" w14:paraId="329B13C8" w14:textId="77777777" w:rsidTr="00CF62EC">
        <w:trPr>
          <w:gridAfter w:val="1"/>
          <w:wAfter w:w="11" w:type="dxa"/>
          <w:trHeight w:val="1919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8809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9785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15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809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30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Taşınır Mal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00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5018 Sayılı Kanun 44. Maddesi Taşınır Mal Yönetmeliği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5C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Akademik ve İdari Personeli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2F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59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B9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Çorlu Meslek Yüksekokulu Müdürlüğü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67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Hayır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C3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Taşınır İstek Belgesi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8C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Taşınır  Kayıt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Yetkilisi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9F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Taşınır Kayıt Yetkilisi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22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RektörlükBünyesinde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 Daire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Başkanlıkları ile diğer merkezi ve taşra birimler.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93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Diğer Kamu Kurum ve Kuruluşları ile Sair Diğer Kurumlar.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69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Günlük, Üç Aylık Dönem ile Mali Yıl Sonu Envanter İşlemlerin Muhasebeleştirilmesi.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85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Aynı Gün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Veya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Diğer Gün İçinde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5D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CE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D0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4E40E738" w14:textId="77777777" w:rsidTr="00CF62EC">
        <w:trPr>
          <w:gridAfter w:val="1"/>
          <w:wAfter w:w="11" w:type="dxa"/>
          <w:trHeight w:val="2361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29DC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B7EA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90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930.01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F1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Kırtasiye Alımı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A2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4734 Sayılı Kanun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CA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Öğrencileri, Akademik Personeli, İdari Personeli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AC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EE8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06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73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80D" w14:textId="77777777" w:rsidR="00E70E5F" w:rsidRPr="008C7B6B" w:rsidRDefault="00E70E5F" w:rsidP="008C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İhtiyaç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List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., Onay Bel., Teklif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Mektubu  Piyasa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Fiyat Arş. Tut., Fatura, Muayene Kabul Kom. Tut., Taşınır İşlem Fişi, Ödeme Emri Bel.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Tah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Teslim.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C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Yüksekokul Sekreteri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F9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Satınalma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Memuru, İlgili Kom. Üyeleri, Yüksekokul Sekreteri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8C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Rektörlük Strateji Gel. Dairesi Başkanlığı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55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İlgili Firmalar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B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2A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73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49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3C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5773301F" w14:textId="77777777" w:rsidTr="00CF62EC">
        <w:trPr>
          <w:gridAfter w:val="1"/>
          <w:wAfter w:w="11" w:type="dxa"/>
          <w:trHeight w:val="1949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31C9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lastRenderedPageBreak/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CD77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82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773.03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F7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Öğrenci Staj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11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Öğrencilerinin Zorunlu Yaz Stajı ve Dönem içi Uygulama Stajı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13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Namık Kemal Üniversitesi Eğitim-Öğretim Yönetmeliği 26. Madde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23E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42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4F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FC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B6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34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*Staj Başvuru Formu              *SGK Provizyon Sorgulama       *Nüfus Kimlik Kart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Fotokobi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8D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Büro/Öğrenci İşleri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0D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*Yüksekokul Sekreter     *Program Danışmanı *Yüksekokul Müdürü              *Müdür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Yrd.(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Staj Komisyon Başkanı)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93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2E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00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İş Günü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EA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İş Günü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3D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250(öğrenci talebine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göre )</w:t>
            </w:r>
            <w:proofErr w:type="gram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FC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5F567D42" w14:textId="77777777" w:rsidTr="00CF62EC">
        <w:trPr>
          <w:gridAfter w:val="1"/>
          <w:wAfter w:w="11" w:type="dxa"/>
          <w:trHeight w:val="184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A010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58B3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63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105.03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77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İçerikleri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40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Her dönem görülecek derslerin özetleri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EE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YÖK İKMEB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E3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43E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15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12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17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EB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47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 İşleri Memuru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FA7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Program Danışmanı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5B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3B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25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Sürekli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D9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Sürekli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2B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Sürekli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95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07369407" w14:textId="77777777" w:rsidTr="00CF62EC">
        <w:trPr>
          <w:gridAfter w:val="1"/>
          <w:wAfter w:w="11" w:type="dxa"/>
          <w:trHeight w:val="18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031F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A3E5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5A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302.04.13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3E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Sınav Sonuçlarına İtiraz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04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Yapılan (</w:t>
            </w: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Vize,Final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 Bütünleme) Sınavlarda Başarı notuna itiraz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18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Kemal  Üniversitesi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Lisans/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Sınav Yönetmeliği 20.madde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9A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11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45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39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77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6D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Dilekçe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61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Yazı İşleri Memuru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3A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Yazı işleri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Memuru ,Yüksekokul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Sekreteri,İlgili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Elemanı,Yüksekokul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Yönetim Kurulu Kararı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8F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İlgili Öğretim Elemanları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83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DD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7 İş Günü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73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 İş Günü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DA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25-30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37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6C43573A" w14:textId="77777777" w:rsidTr="00CF62EC">
        <w:trPr>
          <w:gridAfter w:val="1"/>
          <w:wAfter w:w="11" w:type="dxa"/>
          <w:trHeight w:val="179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D97FD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98CB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BE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302.11.02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C5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İzin(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Kayıt Dondurma)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D1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Öğrencinin geçerli bir mazereti dolayısıyla eğitimine ara vermek istemesi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6D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Sınav Yönetmeliği 23.madde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41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91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BEE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87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78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D4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Dilekçe,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Mazareti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gösteren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belge(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Sağlık kurulu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Raporu,Fakirlik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İlmuhaberi,Tabi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Afetler,Tutukluluk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, Mahkumiyet, Askerlik)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30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Memur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B9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Memur, Yüksekokul Sekreteri, Eğitim Öğretim Komisyonu. Yüksekokul Yönetim Kurulu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52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FE4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F6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A40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İş Günü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15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25-30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3E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Sunuluyor.</w:t>
            </w:r>
          </w:p>
        </w:tc>
      </w:tr>
      <w:tr w:rsidR="00CF62EC" w:rsidRPr="008C7B6B" w14:paraId="3F1B51C5" w14:textId="77777777" w:rsidTr="00CF62EC">
        <w:trPr>
          <w:gridAfter w:val="1"/>
          <w:wAfter w:w="11" w:type="dxa"/>
          <w:trHeight w:val="18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64BB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lastRenderedPageBreak/>
              <w:t>13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4CC0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38A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76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Kayıtları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42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Kayıtlı Tüm Meslek Yüksekokulu Öğrencilerinin (Güz ve Bahar) alacakları derslerin seçimi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5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Sınav Yönetmeliği 13.madde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13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B7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4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FF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EF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2A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Kayıt yenileme yapan öğrencinin Program Danışmanından alacağı onaylı belge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3D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Öğrenci işleri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memuru ,Program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Danışmanları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BF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Program Danışmanları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54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B4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61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Akademik Takvim (5 İş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Günü 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DC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D6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942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2A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14483EE7" w14:textId="77777777" w:rsidTr="00CF62EC">
        <w:trPr>
          <w:gridAfter w:val="1"/>
          <w:wAfter w:w="11" w:type="dxa"/>
          <w:trHeight w:val="1812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CD42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2962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D4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302.04.03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E8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Muafiyetleri ve İntibak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E9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Daha Önceden üniversite okuyan öğrencilerin gördüğü derslerden muaf olma isteği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CC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NKÜ Üniversitesi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Sınav Yönetmenliği ve MYO Yönetim Kurulu Kararı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E2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Tüm 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0B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12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16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6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C6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Dilekçe,Not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Durum belgesi (Transkript)  ile ders içerikleri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00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memur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17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Memur, Yüksekokul </w:t>
            </w:r>
            <w:proofErr w:type="spellStart"/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Sekreteri,Program</w:t>
            </w:r>
            <w:proofErr w:type="spellEnd"/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Danışmanı, Eğitim Öğretim Komisyonu, Yüksekokul Yönetim Kurulu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32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12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6B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İlk kayıt işlemleri sonrası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CD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10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97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20-30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2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6DCAA8B2" w14:textId="77777777" w:rsidTr="00CF62EC">
        <w:trPr>
          <w:gridAfter w:val="1"/>
          <w:wAfter w:w="11" w:type="dxa"/>
          <w:trHeight w:val="18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1D64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5F14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7D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58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Vize Sınav Programı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C9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Vize sınav tarihleri ve Öğretim Görevlisi görevlendirmeleri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DE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  Sınav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Yönetmenliği ve MYO yönetim Kurulu Kararı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EC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1D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BF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DD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B2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73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55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Müdür Yardımcısı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2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Müdür Yrd.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91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21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72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A7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4C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3DA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447A9D16" w14:textId="77777777" w:rsidTr="00CF62EC">
        <w:trPr>
          <w:gridAfter w:val="1"/>
          <w:wAfter w:w="11" w:type="dxa"/>
          <w:trHeight w:val="18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6B8F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3935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F4E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2D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Haftalık Ders Programı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FA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Eğitim Öğretim haftalık programı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D1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NKÜ sınav Yönetmenliği ve MYO yönetim Kurulu Kararı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03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2CB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8CC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ED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C4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BC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C7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Büro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0D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Müdür Yrd.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36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E5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A0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FB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C6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3F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46FACF6E" w14:textId="77777777" w:rsidTr="00CF62EC">
        <w:trPr>
          <w:gridAfter w:val="1"/>
          <w:wAfter w:w="11" w:type="dxa"/>
          <w:trHeight w:val="184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9391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lastRenderedPageBreak/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0415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E2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798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Final-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Büt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 Programı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F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Final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Büt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Sınav tarihleri ve öğretim elemanı görevlendirmeleri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A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NKÜ sınav Yönetmenliği ve MYO yönetim Kurulu Kararı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EA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A8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20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AB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13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88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3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Büro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85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Müdür Yrd.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9E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00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45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0F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7C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BE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3172F22F" w14:textId="77777777" w:rsidTr="00CF62EC">
        <w:trPr>
          <w:gridAfter w:val="1"/>
          <w:wAfter w:w="11" w:type="dxa"/>
          <w:trHeight w:val="243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4947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15DF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5C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F3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Tek Ders Sınavı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6A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Mezun durumuna gelmiş öğrenciler in 1 defaya mahsus olmak üzere yarıyıl sonlarında tek ders hakkından faydalanma isteği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C3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Sınav  Yönetmenliği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 MYO yönetim Kurulu Kararı 16.maddenin 5.bendi gereği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C5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93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DC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2E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3B0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4D4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Başvuru Dilekçesi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03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Yüksekokulu  Memur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4A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Memur, Yüksekokul Sekreteri, Eğitim Öğretim Komisyonu, Yönetim Kurulu Kararı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09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5D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ED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EE2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8C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4E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534B14D5" w14:textId="77777777" w:rsidTr="00CF62EC">
        <w:trPr>
          <w:gridAfter w:val="1"/>
          <w:wAfter w:w="11" w:type="dxa"/>
          <w:trHeight w:val="1812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1C95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7024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8B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302.04.08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72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Ek Ders Sınavı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209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 yıl içinde mezun olmayanlar için açılan sınav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46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  Sınav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Yönetmenliği ve MYO Yönetim Kurulu Kararı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55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761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3A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D2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6C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4A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Başvuru Dilekçesi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1B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Memur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7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 ,Eğitim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Komisyonu ,Yönetim Kurul Kararı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05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56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11B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C0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3F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40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794792E2" w14:textId="77777777" w:rsidTr="00CF62EC">
        <w:trPr>
          <w:gridAfter w:val="1"/>
          <w:wAfter w:w="11" w:type="dxa"/>
          <w:trHeight w:val="1919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6B05A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3813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71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302.04.16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6F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Sınav Sonuçları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40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Vize Final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Büt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sınav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sonuçları(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 Ders, Ek Ders ve  Mazeret Sınavı)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EC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NKÜ Lisans ve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Öğretim ve Sınav Yönetmenliği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5A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0D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Kemal Üniversitesi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08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DD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16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7C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59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 İşleri Memuru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C4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6A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2B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B7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Akademik Takvim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3A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33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3B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10DD34F3" w14:textId="77777777" w:rsidTr="00CF62EC">
        <w:trPr>
          <w:gridAfter w:val="1"/>
          <w:wAfter w:w="11" w:type="dxa"/>
          <w:trHeight w:val="179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AF0C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lastRenderedPageBreak/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39B6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45C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302.12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C2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Disiplin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8E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Disiplin işleri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94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Yök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Öğrenci disiplin Yönetmenliği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3C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öğrencileri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0C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Kemal  Üniversitesi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D9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B81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F4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3C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73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 Büro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8E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Müdür .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Yönetim Kurulu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66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1A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FC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4D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A08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D5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CF62EC" w:rsidRPr="008C7B6B" w14:paraId="14457A2A" w14:textId="77777777" w:rsidTr="00CF62EC">
        <w:trPr>
          <w:gridAfter w:val="1"/>
          <w:wAfter w:w="11" w:type="dxa"/>
          <w:trHeight w:val="184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508C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F4EA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C2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930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F6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Personel Maaş Ödemeleri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8F4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Aylık Maaş Ödemeleri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E1E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2547 -2914-657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29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 Personeli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00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7C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C9B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49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31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2547-2914-657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80F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Myo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Büro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1B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 Sekreteri Müdür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FE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29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31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Ay başından Önce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56D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10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6B8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849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  <w:tr w:rsidR="00CF62EC" w:rsidRPr="008C7B6B" w14:paraId="12E559CE" w14:textId="77777777" w:rsidTr="00CF62EC">
        <w:trPr>
          <w:gridAfter w:val="1"/>
          <w:wAfter w:w="11" w:type="dxa"/>
          <w:trHeight w:val="184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C661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5601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35244855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79E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57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Personel </w:t>
            </w:r>
            <w:proofErr w:type="spellStart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Sgk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 İşlemleri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A0F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Aylık personel sigorta işlemleri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1E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5510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C2D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 Personeli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25A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Tekirdağ Namık </w:t>
            </w: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Kemal  Üniversitesi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Rektörlüğü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5E3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49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Meslek Yüksekokulu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04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011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1B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Myo</w:t>
            </w:r>
            <w:proofErr w:type="spell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Büro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C2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Memur  Meslek</w:t>
            </w:r>
            <w:proofErr w:type="gramEnd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Yüksekokul Sekreteri Müdür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51A5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2BC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6F7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 gün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9310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4C6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992" w14:textId="77777777" w:rsidR="00E70E5F" w:rsidRPr="008C7B6B" w:rsidRDefault="00E70E5F" w:rsidP="00E7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C7B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Sunuluyor</w:t>
            </w:r>
          </w:p>
        </w:tc>
      </w:tr>
    </w:tbl>
    <w:p w14:paraId="03B2FFBE" w14:textId="77777777" w:rsidR="00E70E5F" w:rsidRPr="00E70E5F" w:rsidRDefault="00E70E5F" w:rsidP="00E70E5F">
      <w:pPr>
        <w:spacing w:after="0"/>
        <w:rPr>
          <w:rFonts w:ascii="Times New Roman" w:hAnsi="Times New Roman" w:cs="Times New Roman"/>
        </w:rPr>
      </w:pPr>
    </w:p>
    <w:sectPr w:rsidR="00E70E5F" w:rsidRPr="00E70E5F" w:rsidSect="00CF62EC">
      <w:headerReference w:type="first" r:id="rId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375" w14:textId="77777777" w:rsidR="00CD6588" w:rsidRDefault="00CD6588" w:rsidP="00CF62EC">
      <w:pPr>
        <w:spacing w:after="0" w:line="240" w:lineRule="auto"/>
      </w:pPr>
      <w:r>
        <w:separator/>
      </w:r>
    </w:p>
  </w:endnote>
  <w:endnote w:type="continuationSeparator" w:id="0">
    <w:p w14:paraId="6464B953" w14:textId="77777777" w:rsidR="00CD6588" w:rsidRDefault="00CD6588" w:rsidP="00C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7F75" w14:textId="77777777" w:rsidR="00CD6588" w:rsidRDefault="00CD6588" w:rsidP="00CF62EC">
      <w:pPr>
        <w:spacing w:after="0" w:line="240" w:lineRule="auto"/>
      </w:pPr>
      <w:r>
        <w:separator/>
      </w:r>
    </w:p>
  </w:footnote>
  <w:footnote w:type="continuationSeparator" w:id="0">
    <w:p w14:paraId="4B43FEAB" w14:textId="77777777" w:rsidR="00CD6588" w:rsidRDefault="00CD6588" w:rsidP="00CF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X="-1150" w:tblpY="1"/>
      <w:tblOverlap w:val="never"/>
      <w:tblW w:w="162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C0" w:firstRow="0" w:lastRow="1" w:firstColumn="1" w:lastColumn="1" w:noHBand="0" w:noVBand="0"/>
    </w:tblPr>
    <w:tblGrid>
      <w:gridCol w:w="1701"/>
      <w:gridCol w:w="9831"/>
      <w:gridCol w:w="2669"/>
      <w:gridCol w:w="2096"/>
    </w:tblGrid>
    <w:tr w:rsidR="00CF62EC" w:rsidRPr="000030EA" w14:paraId="7FBB72A9" w14:textId="77777777" w:rsidTr="009778BA">
      <w:trPr>
        <w:trHeight w:val="195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0C3C99EC" w14:textId="77777777" w:rsidR="00CF62EC" w:rsidRPr="004C4A7F" w:rsidRDefault="00CF62EC" w:rsidP="00CF62EC">
          <w:pPr>
            <w:spacing w:before="2"/>
            <w:rPr>
              <w:rFonts w:eastAsia="Calibri" w:hAnsi="Calibri" w:cs="Calibri"/>
              <w:sz w:val="8"/>
              <w:lang w:eastAsia="tr-TR" w:bidi="tr-TR"/>
            </w:rPr>
          </w:pPr>
          <w:r w:rsidRPr="004C4A7F">
            <w:rPr>
              <w:rFonts w:eastAsia="Calibri" w:hAnsi="Calibri" w:cs="Calibri"/>
              <w:noProof/>
              <w:sz w:val="20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7B0A4D7" wp14:editId="0EB0A6FF">
                <wp:simplePos x="0" y="0"/>
                <wp:positionH relativeFrom="column">
                  <wp:posOffset>73025</wp:posOffset>
                </wp:positionH>
                <wp:positionV relativeFrom="paragraph">
                  <wp:posOffset>-7620</wp:posOffset>
                </wp:positionV>
                <wp:extent cx="942975" cy="849630"/>
                <wp:effectExtent l="0" t="0" r="9525" b="762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E9B38D" w14:textId="77777777" w:rsidR="00CF62EC" w:rsidRPr="004C4A7F" w:rsidRDefault="00CF62EC" w:rsidP="00CF62EC">
          <w:pPr>
            <w:ind w:left="323"/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9831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1F99E045" w14:textId="77777777" w:rsidR="00CF62EC" w:rsidRDefault="00CF62EC" w:rsidP="00CF62EC">
          <w:pPr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</w:p>
        <w:p w14:paraId="6D3D8BCF" w14:textId="77777777" w:rsidR="00CF62EC" w:rsidRDefault="00CF62EC" w:rsidP="00CF62EC">
          <w:pPr>
            <w:tabs>
              <w:tab w:val="left" w:pos="1065"/>
            </w:tabs>
            <w:ind w:left="134" w:right="104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ab/>
          </w:r>
        </w:p>
        <w:p w14:paraId="6D296EBF" w14:textId="77777777" w:rsidR="00CF62EC" w:rsidRPr="006239FB" w:rsidRDefault="00CF62EC" w:rsidP="00CF62EC">
          <w:pPr>
            <w:ind w:left="134" w:right="10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</w:pP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TNKÜ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 xml:space="preserve">ÇORLU MESLEK YÜKSEKOKULU </w:t>
          </w:r>
          <w:r w:rsidRPr="006239FB">
            <w:rPr>
              <w:rFonts w:ascii="Times New Roman" w:eastAsia="Calibri" w:hAnsi="Times New Roman" w:cs="Times New Roman"/>
              <w:b/>
              <w:sz w:val="24"/>
              <w:szCs w:val="24"/>
              <w:lang w:eastAsia="tr-TR" w:bidi="tr-TR"/>
            </w:rPr>
            <w:t>HİZMET ENVANTERİ TABLOSU</w:t>
          </w:r>
        </w:p>
      </w:tc>
      <w:tc>
        <w:tcPr>
          <w:tcW w:w="266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98A7A9D" w14:textId="77777777" w:rsidR="00CF62EC" w:rsidRPr="000030EA" w:rsidRDefault="00CF62EC" w:rsidP="00CF62EC">
          <w:pPr>
            <w:spacing w:before="1" w:line="174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No:</w:t>
          </w:r>
        </w:p>
      </w:tc>
      <w:tc>
        <w:tcPr>
          <w:tcW w:w="209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08EC22A" w14:textId="77777777" w:rsidR="00CF62EC" w:rsidRPr="000030EA" w:rsidRDefault="00CF62EC" w:rsidP="00CF62EC">
          <w:pPr>
            <w:spacing w:line="176" w:lineRule="exact"/>
            <w:ind w:right="446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EYS-PR-02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9</w:t>
          </w:r>
        </w:p>
      </w:tc>
    </w:tr>
    <w:tr w:rsidR="00CF62EC" w:rsidRPr="000030EA" w14:paraId="2D362F0F" w14:textId="77777777" w:rsidTr="009778BA">
      <w:trPr>
        <w:trHeight w:val="195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52AC072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8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425AEF4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6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4B5A2CE" w14:textId="77777777" w:rsidR="00CF62EC" w:rsidRPr="000030EA" w:rsidRDefault="00CF62EC" w:rsidP="00CF62EC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Tarihi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0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17337C59" w14:textId="77777777" w:rsidR="00CF62EC" w:rsidRPr="000030EA" w:rsidRDefault="00CF62EC" w:rsidP="00CF62EC">
          <w:pPr>
            <w:spacing w:line="176" w:lineRule="exact"/>
            <w:ind w:right="-6072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10.11.2021</w:t>
          </w:r>
        </w:p>
      </w:tc>
    </w:tr>
    <w:tr w:rsidR="00CF62EC" w:rsidRPr="000030EA" w14:paraId="20C23D1D" w14:textId="77777777" w:rsidTr="009778BA">
      <w:trPr>
        <w:trHeight w:val="195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2B82C4B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8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E87E48E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6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E57F4F9" w14:textId="77777777" w:rsidR="00CF62EC" w:rsidRPr="000030EA" w:rsidRDefault="00CF62EC" w:rsidP="00CF62EC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Tarihi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0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F5DE90C" w14:textId="3434A788" w:rsidR="00CF62EC" w:rsidRPr="000030EA" w:rsidRDefault="00D90681" w:rsidP="00CF62EC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12.11.2021</w:t>
          </w:r>
        </w:p>
      </w:tc>
    </w:tr>
    <w:tr w:rsidR="00CF62EC" w:rsidRPr="000030EA" w14:paraId="4505E4CF" w14:textId="77777777" w:rsidTr="009778BA">
      <w:trPr>
        <w:trHeight w:val="195"/>
      </w:trPr>
      <w:tc>
        <w:tcPr>
          <w:tcW w:w="170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6AF4D83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8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E3D7B79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6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7B6A57A" w14:textId="77777777" w:rsidR="00CF62EC" w:rsidRPr="000030EA" w:rsidRDefault="00CF62EC" w:rsidP="00CF62EC">
          <w:pPr>
            <w:spacing w:line="176" w:lineRule="exact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No:</w:t>
          </w:r>
        </w:p>
      </w:tc>
      <w:tc>
        <w:tcPr>
          <w:tcW w:w="20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4F70EF6" w14:textId="57C110C2" w:rsidR="00CF62EC" w:rsidRPr="000030EA" w:rsidRDefault="00CF62EC" w:rsidP="00CF62EC">
          <w:pPr>
            <w:spacing w:line="176" w:lineRule="exact"/>
            <w:ind w:right="44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r w:rsidR="00D90681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</w:t>
          </w:r>
        </w:p>
      </w:tc>
    </w:tr>
    <w:tr w:rsidR="00CF62EC" w:rsidRPr="000030EA" w14:paraId="1889DD57" w14:textId="77777777" w:rsidTr="009778BA">
      <w:trPr>
        <w:trHeight w:val="464"/>
      </w:trPr>
      <w:tc>
        <w:tcPr>
          <w:tcW w:w="170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E27B357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831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417D7CA" w14:textId="77777777" w:rsidR="00CF62EC" w:rsidRPr="004C4A7F" w:rsidRDefault="00CF62EC" w:rsidP="00CF62EC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66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41BE294A" w14:textId="77777777" w:rsidR="00CF62EC" w:rsidRPr="000030EA" w:rsidRDefault="00CF62EC" w:rsidP="00CF62EC">
          <w:pPr>
            <w:spacing w:before="22"/>
            <w:ind w:left="34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Toplam</w:t>
          </w:r>
          <w:proofErr w:type="spellEnd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 xml:space="preserve"> </w:t>
          </w: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Sayfa</w:t>
          </w:r>
          <w:proofErr w:type="spellEnd"/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</w:t>
          </w:r>
          <w:proofErr w:type="spellStart"/>
          <w:r w:rsidRPr="000030EA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Sayısı</w:t>
          </w:r>
          <w:proofErr w:type="spellEnd"/>
          <w:r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09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742CB9B" w14:textId="77777777" w:rsidR="00CF62EC" w:rsidRPr="000030EA" w:rsidRDefault="00CF62EC" w:rsidP="00CF62EC">
          <w:pPr>
            <w:spacing w:before="11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 xml:space="preserve"> 7</w:t>
          </w:r>
        </w:p>
      </w:tc>
    </w:tr>
  </w:tbl>
  <w:p w14:paraId="09F0D00B" w14:textId="15FCF058" w:rsidR="00CF62EC" w:rsidRPr="00CF62EC" w:rsidRDefault="00CF62EC" w:rsidP="00D90681">
    <w:pPr>
      <w:pStyle w:val="stBilgi"/>
      <w:tabs>
        <w:tab w:val="clear" w:pos="4536"/>
        <w:tab w:val="clear" w:pos="9072"/>
        <w:tab w:val="left" w:pos="9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5F"/>
    <w:rsid w:val="004034FE"/>
    <w:rsid w:val="00511C9A"/>
    <w:rsid w:val="008C7B6B"/>
    <w:rsid w:val="00CD6588"/>
    <w:rsid w:val="00CF62EC"/>
    <w:rsid w:val="00D90681"/>
    <w:rsid w:val="00E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D130A"/>
  <w15:chartTrackingRefBased/>
  <w15:docId w15:val="{6A37AFB7-5B10-4651-BE46-B77A662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70E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0E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0E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0E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0E5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E5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62EC"/>
  </w:style>
  <w:style w:type="paragraph" w:styleId="AltBilgi">
    <w:name w:val="footer"/>
    <w:basedOn w:val="Normal"/>
    <w:link w:val="AltBilgiChar"/>
    <w:uiPriority w:val="99"/>
    <w:unhideWhenUsed/>
    <w:rsid w:val="00C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2EC"/>
  </w:style>
  <w:style w:type="table" w:customStyle="1" w:styleId="TableNormal">
    <w:name w:val="Table Normal"/>
    <w:uiPriority w:val="2"/>
    <w:semiHidden/>
    <w:unhideWhenUsed/>
    <w:qFormat/>
    <w:rsid w:val="00CF6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Çorlu MYO</dc:creator>
  <cp:keywords/>
  <dc:description/>
  <cp:lastModifiedBy>GÜNEŞ</cp:lastModifiedBy>
  <cp:revision>2</cp:revision>
  <dcterms:created xsi:type="dcterms:W3CDTF">2021-11-15T07:03:00Z</dcterms:created>
  <dcterms:modified xsi:type="dcterms:W3CDTF">2021-11-15T07:03:00Z</dcterms:modified>
</cp:coreProperties>
</file>