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46FE" w14:textId="432A6125" w:rsidR="000255F5" w:rsidRDefault="000255F5">
      <w:pPr>
        <w:pStyle w:val="GvdeMetni"/>
        <w:spacing w:before="3"/>
        <w:ind w:left="0" w:firstLine="0"/>
        <w:jc w:val="left"/>
        <w:rPr>
          <w:sz w:val="25"/>
        </w:rPr>
      </w:pPr>
    </w:p>
    <w:p w14:paraId="4BDD9D7C" w14:textId="0FEF7E1C" w:rsidR="008F799B" w:rsidRDefault="008F799B">
      <w:pPr>
        <w:pStyle w:val="GvdeMetni"/>
        <w:spacing w:before="3"/>
        <w:ind w:left="0" w:firstLine="0"/>
        <w:jc w:val="left"/>
        <w:rPr>
          <w:sz w:val="25"/>
        </w:rPr>
      </w:pPr>
    </w:p>
    <w:tbl>
      <w:tblPr>
        <w:tblStyle w:val="TableNormal"/>
        <w:tblW w:w="9939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4252"/>
        <w:gridCol w:w="2268"/>
        <w:gridCol w:w="1839"/>
      </w:tblGrid>
      <w:tr w:rsidR="008F799B" w:rsidRPr="008E10A5" w14:paraId="4C561955" w14:textId="77777777" w:rsidTr="008F799B">
        <w:trPr>
          <w:trHeight w:val="19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24AAA7AA" w14:textId="77777777" w:rsidR="008F799B" w:rsidRDefault="008F799B" w:rsidP="00D11086">
            <w:pPr>
              <w:pStyle w:val="TableParagraph"/>
              <w:spacing w:before="2"/>
              <w:rPr>
                <w:rFonts w:ascii="Times New Roman"/>
                <w:sz w:val="8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9776" behindDoc="1" locked="0" layoutInCell="1" allowOverlap="1" wp14:anchorId="2A76E722" wp14:editId="2E8DD45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43180</wp:posOffset>
                  </wp:positionV>
                  <wp:extent cx="913765" cy="771525"/>
                  <wp:effectExtent l="0" t="0" r="635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EEEF50" w14:textId="77777777" w:rsidR="008F799B" w:rsidRDefault="008F799B" w:rsidP="00D11086">
            <w:pPr>
              <w:pStyle w:val="TableParagraph"/>
              <w:ind w:left="323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6A9BC6D0" w14:textId="675F4426" w:rsidR="008F799B" w:rsidRPr="008F799B" w:rsidRDefault="008F799B" w:rsidP="008F799B">
            <w:pPr>
              <w:ind w:left="807" w:right="8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 AVRUPA KREDİ TRANSFER SİSTEMİ (AKTS) UYGULAMA YÖNERGESİ</w:t>
            </w:r>
          </w:p>
          <w:p w14:paraId="065F9FA4" w14:textId="77777777" w:rsidR="008F799B" w:rsidRDefault="008F799B" w:rsidP="00D11086">
            <w:pPr>
              <w:pStyle w:val="TableParagraph"/>
              <w:ind w:left="134" w:right="104"/>
              <w:jc w:val="center"/>
              <w:rPr>
                <w:b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C064F" w14:textId="77777777" w:rsidR="008F799B" w:rsidRPr="008E10A5" w:rsidRDefault="008F799B" w:rsidP="00D11086">
            <w:pPr>
              <w:pStyle w:val="TableParagraph"/>
              <w:spacing w:before="1" w:line="174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10A5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0AD33A" w14:textId="6B37A377" w:rsidR="008F799B" w:rsidRPr="008E10A5" w:rsidRDefault="008F799B" w:rsidP="00D11086">
            <w:pPr>
              <w:pStyle w:val="TableParagraph"/>
              <w:spacing w:line="176" w:lineRule="exact"/>
              <w:ind w:left="0" w:right="4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EYS-YNG-00</w:t>
            </w:r>
            <w:r w:rsidR="00096C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799B" w:rsidRPr="008E10A5" w14:paraId="28278C67" w14:textId="77777777" w:rsidTr="008F799B">
        <w:trPr>
          <w:trHeight w:val="195"/>
        </w:trPr>
        <w:tc>
          <w:tcPr>
            <w:tcW w:w="158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E16B3BD" w14:textId="77777777" w:rsidR="008F799B" w:rsidRDefault="008F799B" w:rsidP="00D1108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FA15AD" w14:textId="77777777" w:rsidR="008F799B" w:rsidRDefault="008F799B" w:rsidP="00D110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E7AA6" w14:textId="77777777" w:rsidR="008F799B" w:rsidRPr="008E10A5" w:rsidRDefault="008F799B" w:rsidP="00D11086">
            <w:pPr>
              <w:pStyle w:val="TableParagraph"/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10A5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C53DBE4" w14:textId="77777777" w:rsidR="008F799B" w:rsidRPr="008E10A5" w:rsidRDefault="008F799B" w:rsidP="00D11086">
            <w:pPr>
              <w:pStyle w:val="TableParagraph"/>
              <w:spacing w:line="176" w:lineRule="exact"/>
              <w:ind w:left="0" w:right="4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01.11.2021</w:t>
            </w:r>
          </w:p>
        </w:tc>
      </w:tr>
      <w:tr w:rsidR="008F799B" w:rsidRPr="008E10A5" w14:paraId="6D8D6B3C" w14:textId="77777777" w:rsidTr="008F799B">
        <w:trPr>
          <w:trHeight w:val="195"/>
        </w:trPr>
        <w:tc>
          <w:tcPr>
            <w:tcW w:w="158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04213BA" w14:textId="77777777" w:rsidR="008F799B" w:rsidRDefault="008F799B" w:rsidP="00D1108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1FB84E9" w14:textId="77777777" w:rsidR="008F799B" w:rsidRDefault="008F799B" w:rsidP="00D110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6BD48" w14:textId="77777777" w:rsidR="008F799B" w:rsidRPr="008E10A5" w:rsidRDefault="008F799B" w:rsidP="00D11086">
            <w:pPr>
              <w:pStyle w:val="TableParagraph"/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10A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E383672" w14:textId="77777777" w:rsidR="008F799B" w:rsidRPr="008E10A5" w:rsidRDefault="008F799B" w:rsidP="00D11086">
            <w:pPr>
              <w:pStyle w:val="TableParagraph"/>
              <w:spacing w:line="176" w:lineRule="exact"/>
              <w:ind w:left="0" w:right="4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F799B" w:rsidRPr="008E10A5" w14:paraId="5AFC8E65" w14:textId="77777777" w:rsidTr="008F799B">
        <w:trPr>
          <w:trHeight w:val="195"/>
        </w:trPr>
        <w:tc>
          <w:tcPr>
            <w:tcW w:w="158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557C2FF" w14:textId="77777777" w:rsidR="008F799B" w:rsidRDefault="008F799B" w:rsidP="00D1108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2E0A78C" w14:textId="77777777" w:rsidR="008F799B" w:rsidRDefault="008F799B" w:rsidP="00D110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889D1" w14:textId="77777777" w:rsidR="008F799B" w:rsidRPr="008E10A5" w:rsidRDefault="008F799B" w:rsidP="00D11086">
            <w:pPr>
              <w:pStyle w:val="TableParagraph"/>
              <w:spacing w:line="176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10A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41BD664" w14:textId="77777777" w:rsidR="008F799B" w:rsidRPr="008E10A5" w:rsidRDefault="008F799B" w:rsidP="00D11086">
            <w:pPr>
              <w:pStyle w:val="TableParagraph"/>
              <w:spacing w:line="176" w:lineRule="exact"/>
              <w:ind w:left="0" w:right="4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</w:tr>
      <w:tr w:rsidR="008F799B" w:rsidRPr="008E10A5" w14:paraId="6E400E71" w14:textId="77777777" w:rsidTr="008F799B">
        <w:trPr>
          <w:trHeight w:val="203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EFB141" w14:textId="77777777" w:rsidR="008F799B" w:rsidRDefault="008F799B" w:rsidP="00D11086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6FC80D" w14:textId="77777777" w:rsidR="008F799B" w:rsidRDefault="008F799B" w:rsidP="00D1108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5A98D4" w14:textId="77777777" w:rsidR="008F799B" w:rsidRPr="008E10A5" w:rsidRDefault="008F799B" w:rsidP="00D11086">
            <w:pPr>
              <w:pStyle w:val="TableParagraph"/>
              <w:spacing w:before="22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10A5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</w:p>
          <w:p w14:paraId="2CA5CB78" w14:textId="77777777" w:rsidR="008F799B" w:rsidRPr="008E10A5" w:rsidRDefault="008F799B" w:rsidP="00D11086">
            <w:pPr>
              <w:pStyle w:val="TableParagraph"/>
              <w:spacing w:before="25" w:line="189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10A5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7B74E3" w14:textId="54EF7793" w:rsidR="008F799B" w:rsidRPr="008E10A5" w:rsidRDefault="00096C1C" w:rsidP="00096C1C">
            <w:pPr>
              <w:pStyle w:val="TableParagraph"/>
              <w:spacing w:line="192" w:lineRule="exact"/>
              <w:ind w:left="0" w:right="4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</w:tr>
    </w:tbl>
    <w:p w14:paraId="7A8B3215" w14:textId="604AF26E" w:rsidR="000255F5" w:rsidRPr="008F799B" w:rsidRDefault="008F799B" w:rsidP="008F799B">
      <w:pPr>
        <w:spacing w:before="90"/>
        <w:ind w:right="808"/>
        <w:rPr>
          <w:b/>
        </w:rPr>
      </w:pPr>
      <w:r>
        <w:rPr>
          <w:b/>
          <w:sz w:val="24"/>
        </w:rPr>
        <w:t xml:space="preserve">                                                              </w:t>
      </w:r>
      <w:r w:rsidR="00096C1C" w:rsidRPr="008F799B">
        <w:rPr>
          <w:b/>
        </w:rPr>
        <w:t>BİRİNCİ BÖLÜM</w:t>
      </w:r>
    </w:p>
    <w:p w14:paraId="266A784A" w14:textId="5D957816" w:rsidR="00096C1C" w:rsidRDefault="00096C1C" w:rsidP="00096C1C">
      <w:pPr>
        <w:ind w:left="807" w:right="811"/>
        <w:jc w:val="center"/>
        <w:rPr>
          <w:b/>
        </w:rPr>
      </w:pPr>
      <w:r w:rsidRPr="008F799B">
        <w:rPr>
          <w:b/>
        </w:rPr>
        <w:t>Amaç-Kapsam-Dayanak-Tanımla</w:t>
      </w:r>
      <w:r>
        <w:rPr>
          <w:b/>
        </w:rPr>
        <w:t>r</w:t>
      </w:r>
    </w:p>
    <w:p w14:paraId="1BAE934E" w14:textId="068F26B5" w:rsidR="000255F5" w:rsidRDefault="00096C1C" w:rsidP="00096C1C">
      <w:pPr>
        <w:ind w:right="811"/>
        <w:rPr>
          <w:b/>
          <w:sz w:val="24"/>
        </w:rPr>
      </w:pPr>
      <w:r>
        <w:rPr>
          <w:b/>
          <w:sz w:val="24"/>
        </w:rPr>
        <w:t>Amaç                                                                                                                          03.03.2009</w:t>
      </w:r>
    </w:p>
    <w:p w14:paraId="1355D9BA" w14:textId="31FD7517" w:rsidR="000255F5" w:rsidRDefault="00096C1C">
      <w:pPr>
        <w:pStyle w:val="GvdeMetni"/>
        <w:ind w:right="117"/>
      </w:pPr>
      <w:r>
        <w:rPr>
          <w:b/>
        </w:rPr>
        <w:t xml:space="preserve">MADDE 1- </w:t>
      </w:r>
      <w:r>
        <w:t xml:space="preserve">(1)Bu Yönergenin amacı; Avrupa Birliğine üye ve aday ülkeler arasında yük- sek öğrenim alanında öğrenci hareketlerini kolaylaştırmak ve öğrencilerin kendi ülkelerinde aldık- </w:t>
      </w:r>
      <w:proofErr w:type="spellStart"/>
      <w:r>
        <w:t>ları</w:t>
      </w:r>
      <w:proofErr w:type="spellEnd"/>
      <w:r>
        <w:t xml:space="preserve"> eğitimin diğer ülkelerde tanınmasına yönelik olarak, </w:t>
      </w:r>
      <w:r w:rsidR="008F799B">
        <w:t xml:space="preserve">Tekirdağ </w:t>
      </w:r>
      <w:r>
        <w:t>Namık Kemal Üniversitesi</w:t>
      </w:r>
      <w:r>
        <w:t>nin Ön Lisans, Lisans ve Lisansüstü programlarında eğitim gören Türk vatandaşı veya yabancı uyruklu öğrencile</w:t>
      </w:r>
      <w:r>
        <w:t>rin akademik başarılarını belgelendirmek üzere not çizelgesi (transkript) ve AKTS/Diploma Ekleri</w:t>
      </w:r>
      <w:r>
        <w:t>nin düzenlenmesine ilişkin esasları belirlemekt</w:t>
      </w:r>
      <w:r>
        <w:t>ir.</w:t>
      </w:r>
    </w:p>
    <w:p w14:paraId="5F8E657F" w14:textId="77777777" w:rsidR="000255F5" w:rsidRDefault="00096C1C">
      <w:pPr>
        <w:pStyle w:val="Balk1"/>
        <w:spacing w:before="1" w:line="274" w:lineRule="exact"/>
        <w:ind w:left="826"/>
        <w:jc w:val="left"/>
      </w:pPr>
      <w:r>
        <w:t>Kapsam</w:t>
      </w:r>
    </w:p>
    <w:p w14:paraId="74D8AA6D" w14:textId="0E368C12" w:rsidR="000255F5" w:rsidRDefault="00096C1C">
      <w:pPr>
        <w:pStyle w:val="GvdeMetni"/>
        <w:ind w:right="117"/>
      </w:pPr>
      <w:r>
        <w:rPr>
          <w:b/>
        </w:rPr>
        <w:t xml:space="preserve">MADDE </w:t>
      </w:r>
      <w:proofErr w:type="gramStart"/>
      <w:r>
        <w:rPr>
          <w:b/>
        </w:rPr>
        <w:t>2 -</w:t>
      </w:r>
      <w:proofErr w:type="gramEnd"/>
      <w:r>
        <w:rPr>
          <w:b/>
        </w:rPr>
        <w:t xml:space="preserve"> </w:t>
      </w:r>
      <w:r>
        <w:t>(1)</w:t>
      </w:r>
      <w:r w:rsidR="008F799B">
        <w:t xml:space="preserve"> </w:t>
      </w:r>
      <w:r>
        <w:t xml:space="preserve">Bu Yönerge; </w:t>
      </w:r>
      <w:r w:rsidR="008F799B">
        <w:t xml:space="preserve">Tekirdağ </w:t>
      </w:r>
      <w:r>
        <w:t>Namık Kemal Üniversitesinin Fakülte, Ensti</w:t>
      </w:r>
      <w:r>
        <w:t>tü,</w:t>
      </w:r>
      <w:r w:rsidR="008F799B">
        <w:t xml:space="preserve"> </w:t>
      </w:r>
      <w:r>
        <w:t>Yüksekokullarında kayıtlı olan öğrencilerin AKTS/Diploma Eki ve Not Çizelgesi (transkript) hazırlama çalışmalarına ilişkin hükümleri kapsar.</w:t>
      </w:r>
    </w:p>
    <w:p w14:paraId="370F0A04" w14:textId="77777777" w:rsidR="000255F5" w:rsidRDefault="00096C1C">
      <w:pPr>
        <w:pStyle w:val="Balk1"/>
        <w:spacing w:before="2" w:line="274" w:lineRule="exact"/>
        <w:ind w:left="826"/>
        <w:jc w:val="left"/>
      </w:pPr>
      <w:r>
        <w:t>Dayanak</w:t>
      </w:r>
    </w:p>
    <w:p w14:paraId="56FFFD04" w14:textId="1B6E7F47" w:rsidR="000255F5" w:rsidRDefault="00096C1C">
      <w:pPr>
        <w:pStyle w:val="GvdeMetni"/>
        <w:ind w:right="115"/>
      </w:pPr>
      <w:r>
        <w:rPr>
          <w:b/>
        </w:rPr>
        <w:t xml:space="preserve">MADDE 3 - </w:t>
      </w:r>
      <w:r>
        <w:t>(1)Bu Yönerge;</w:t>
      </w:r>
      <w:r>
        <w:t xml:space="preserve"> 06/05/2007 tarihli ve 26514 sayılı Resmi Gazetede yayımlana- </w:t>
      </w:r>
      <w:proofErr w:type="spellStart"/>
      <w:r>
        <w:t>rak</w:t>
      </w:r>
      <w:proofErr w:type="spellEnd"/>
      <w:r>
        <w:t xml:space="preserve"> yürürlüğe giren </w:t>
      </w:r>
      <w:r w:rsidR="008F799B">
        <w:t xml:space="preserve">Tekirdağ </w:t>
      </w:r>
      <w:r>
        <w:t xml:space="preserve">Namık Kemal Üniversitesi Lisansüstü Eğitim-Öğretim ve Sınav Yönetmeliği, 02/04/2007 tarihli ve 26481 sayılı Resmi Gazetede yayımlanarak yürürlüğe giren </w:t>
      </w:r>
      <w:r w:rsidR="008F799B">
        <w:t xml:space="preserve">Tekirdağ </w:t>
      </w:r>
      <w:r>
        <w:t>Namık Kemal Üniversite</w:t>
      </w:r>
      <w:r>
        <w:t>si Lisans Eğitim-Öğretim ve Sınav Yönetmeliği, 02/04/2007 tarihli ve 26481 sayılı Re</w:t>
      </w:r>
      <w:r w:rsidR="008F799B">
        <w:t>s</w:t>
      </w:r>
      <w:r>
        <w:t xml:space="preserve">mi Gazetede yayımlanarak yürürlüğe giren </w:t>
      </w:r>
      <w:r w:rsidR="008F799B">
        <w:t xml:space="preserve">Tekirdağ </w:t>
      </w:r>
      <w:r>
        <w:t>Namık Kemal Üniversitesi Sağlık Yüksekokulları Eği</w:t>
      </w:r>
      <w:r>
        <w:t>tim-Öğretim ve Sınav Yönetmeliği, 04/07/2008 tarihli ve 26928 sayılı Resmi G</w:t>
      </w:r>
      <w:r>
        <w:t>azetede yayınlana</w:t>
      </w:r>
      <w:r>
        <w:t xml:space="preserve">rak yürürlüğe giren </w:t>
      </w:r>
      <w:r w:rsidR="008F799B">
        <w:t xml:space="preserve">Tekirdağ </w:t>
      </w:r>
      <w:r>
        <w:t xml:space="preserve">Namık Kemal Üniversitesi Tıp Fakültesi Eğitim-Öğretim ve Sınav Yönetmeliği ve 25/02/2007 tarihli ve 26445 sayılı Resmi Gazetede yayımlanarak yürürlüğe giren </w:t>
      </w:r>
      <w:r w:rsidR="008F799B">
        <w:t xml:space="preserve">Tekirdağ </w:t>
      </w:r>
      <w:r>
        <w:t>Namık Kemal Üniversitesi Meslek Yüksekokulları Eğitim-Öğreti</w:t>
      </w:r>
      <w:r>
        <w:t xml:space="preserve">m ve Sınav Yönetmeliği ve 29/07/2008 tarihli Senato toplantısının 05 sayılı kararı ile yayımlanarak yürürlüğe giren NKÜ Avrupa Birliği Eğitim ve Gençlik Programları </w:t>
      </w:r>
      <w:proofErr w:type="spellStart"/>
      <w:r>
        <w:t>Erasmus</w:t>
      </w:r>
      <w:proofErr w:type="spellEnd"/>
      <w:r>
        <w:t xml:space="preserve"> Öğrenci Değişimi Yönergesi hükümlerine dayanılarak hazırlan</w:t>
      </w:r>
      <w:r>
        <w:t>mıştır.</w:t>
      </w:r>
    </w:p>
    <w:p w14:paraId="359A59D2" w14:textId="77777777" w:rsidR="000255F5" w:rsidRDefault="00096C1C">
      <w:pPr>
        <w:pStyle w:val="Balk1"/>
        <w:spacing w:before="3" w:line="274" w:lineRule="exact"/>
        <w:ind w:left="826"/>
        <w:jc w:val="left"/>
      </w:pPr>
      <w:r>
        <w:t>Tanımlar</w:t>
      </w:r>
    </w:p>
    <w:p w14:paraId="7D749F2F" w14:textId="77777777" w:rsidR="000255F5" w:rsidRDefault="00096C1C">
      <w:pPr>
        <w:spacing w:line="274" w:lineRule="exact"/>
        <w:ind w:left="826"/>
        <w:rPr>
          <w:sz w:val="24"/>
        </w:rPr>
      </w:pPr>
      <w:r>
        <w:rPr>
          <w:b/>
          <w:sz w:val="24"/>
        </w:rPr>
        <w:t>MADDE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4 -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(1)Bu Yönergede geçen;</w:t>
      </w:r>
    </w:p>
    <w:p w14:paraId="23464A60" w14:textId="364371A8" w:rsidR="000255F5" w:rsidRPr="008F799B" w:rsidRDefault="00096C1C" w:rsidP="008F799B">
      <w:pPr>
        <w:pStyle w:val="GvdeMetni"/>
        <w:ind w:right="119"/>
      </w:pPr>
      <w:r>
        <w:t>Avrupa Kredi Transfer Sistemi (AKTS): Öğrencilerin yurt içinde ve yurt dışında aldıkları ve başarılı oldukları ders kredilerinin, bir yükseköğretim kurumundan diğerine transfer edilmelerini sağlayan bir akreditasyon sistemini if</w:t>
      </w:r>
      <w:r>
        <w:t>ade</w:t>
      </w:r>
      <w:r>
        <w:rPr>
          <w:spacing w:val="1"/>
        </w:rPr>
        <w:t xml:space="preserve"> </w:t>
      </w:r>
      <w:r>
        <w:t>eder.</w:t>
      </w:r>
    </w:p>
    <w:p w14:paraId="5AA011D3" w14:textId="77777777" w:rsidR="000255F5" w:rsidRDefault="00096C1C">
      <w:pPr>
        <w:pStyle w:val="Balk1"/>
        <w:spacing w:before="90"/>
        <w:ind w:right="808"/>
      </w:pPr>
      <w:r>
        <w:t>İKİNCİ BÖLÜM</w:t>
      </w:r>
    </w:p>
    <w:p w14:paraId="49D8BA65" w14:textId="77777777" w:rsidR="000255F5" w:rsidRDefault="00096C1C">
      <w:pPr>
        <w:ind w:left="807" w:right="807"/>
        <w:jc w:val="center"/>
        <w:rPr>
          <w:b/>
          <w:sz w:val="24"/>
        </w:rPr>
      </w:pPr>
      <w:r>
        <w:rPr>
          <w:b/>
          <w:sz w:val="24"/>
        </w:rPr>
        <w:t>Uygulama ve Kredilendirme Esasları</w:t>
      </w:r>
    </w:p>
    <w:p w14:paraId="1A73A05E" w14:textId="77777777" w:rsidR="000255F5" w:rsidRDefault="00096C1C">
      <w:pPr>
        <w:ind w:left="807" w:right="7095"/>
        <w:jc w:val="center"/>
        <w:rPr>
          <w:b/>
          <w:sz w:val="24"/>
        </w:rPr>
      </w:pPr>
      <w:r>
        <w:rPr>
          <w:b/>
          <w:sz w:val="24"/>
        </w:rPr>
        <w:t>Uygulama esasları</w:t>
      </w:r>
    </w:p>
    <w:p w14:paraId="60DBEA4C" w14:textId="12EB53E3" w:rsidR="000255F5" w:rsidRDefault="00096C1C">
      <w:pPr>
        <w:pStyle w:val="GvdeMetni"/>
        <w:ind w:right="115"/>
      </w:pPr>
      <w:r>
        <w:rPr>
          <w:b/>
        </w:rPr>
        <w:t xml:space="preserve">MADDE </w:t>
      </w:r>
      <w:proofErr w:type="gramStart"/>
      <w:r>
        <w:rPr>
          <w:b/>
        </w:rPr>
        <w:t>5 -</w:t>
      </w:r>
      <w:proofErr w:type="gramEnd"/>
      <w:r>
        <w:rPr>
          <w:b/>
        </w:rPr>
        <w:t xml:space="preserve"> </w:t>
      </w:r>
      <w:r>
        <w:t>(1)</w:t>
      </w:r>
      <w:r w:rsidR="008F799B">
        <w:t xml:space="preserve">Tekirdağ </w:t>
      </w:r>
      <w:r>
        <w:t>Namık Kemal Üniversitesi tarafından yürütülen Ön Lisans , Lisans ve Li</w:t>
      </w:r>
      <w:r>
        <w:t>sansüstü programlarda eğitim gören Türk vatandaşı veya yabancı uyruklu öğrencilerin akademik başarılarını belgelendirmek amacı ile düzenlenecek not çizelgesi (transkript) ve AKTS Di</w:t>
      </w:r>
      <w:r>
        <w:t>ploma Eklerinde bu Yönerge hükümleri uygulanır.</w:t>
      </w:r>
    </w:p>
    <w:p w14:paraId="6FB84FA1" w14:textId="77777777" w:rsidR="000255F5" w:rsidRDefault="00096C1C">
      <w:pPr>
        <w:pStyle w:val="GvdeMetni"/>
        <w:ind w:right="117"/>
      </w:pPr>
      <w:r>
        <w:t xml:space="preserve">(2)AKTS kredisi öğrencinin eğitim-öğretim programlarında yer alan her bir dersi başarı ile tamamlayabilmesi için gerekli işgücünün (teorik dersler, uygulama, seminer, bireysel çalışma, </w:t>
      </w:r>
      <w:proofErr w:type="spellStart"/>
      <w:r>
        <w:t>sı</w:t>
      </w:r>
      <w:proofErr w:type="spellEnd"/>
      <w:r>
        <w:t xml:space="preserve">- </w:t>
      </w:r>
      <w:proofErr w:type="spellStart"/>
      <w:r>
        <w:t>navlar</w:t>
      </w:r>
      <w:proofErr w:type="spellEnd"/>
      <w:r>
        <w:t>, ödevler, kü</w:t>
      </w:r>
      <w:r>
        <w:t xml:space="preserve">tüphane çalışmaları, proje, stajlar ve mezuniyet tezi ve benzeri) tümünü ifade eden değerdir. Bu değer yurt içinde veya </w:t>
      </w:r>
      <w:proofErr w:type="spellStart"/>
      <w:r>
        <w:t>AKTS’i</w:t>
      </w:r>
      <w:proofErr w:type="spellEnd"/>
      <w:r>
        <w:t xml:space="preserve"> kabul eden ülkelerdeki bir yüksek öğretim kuru- </w:t>
      </w:r>
      <w:proofErr w:type="spellStart"/>
      <w:r>
        <w:t>munda</w:t>
      </w:r>
      <w:proofErr w:type="spellEnd"/>
      <w:r>
        <w:t xml:space="preserve"> bir akademik yılın, tam zamanlı olarak tamamlanması için gereken toplam çal</w:t>
      </w:r>
      <w:r>
        <w:t xml:space="preserve">ışma (iş) </w:t>
      </w:r>
      <w:proofErr w:type="spellStart"/>
      <w:r>
        <w:t>yü</w:t>
      </w:r>
      <w:proofErr w:type="spellEnd"/>
      <w:r>
        <w:t xml:space="preserve">- </w:t>
      </w:r>
      <w:proofErr w:type="spellStart"/>
      <w:r>
        <w:t>künün</w:t>
      </w:r>
      <w:proofErr w:type="spellEnd"/>
      <w:r>
        <w:t xml:space="preserve"> ne kadar bir bölümünü teşkil ettiğinin sayısal göstergesidir.</w:t>
      </w:r>
    </w:p>
    <w:p w14:paraId="0CD3D485" w14:textId="77777777" w:rsidR="000255F5" w:rsidRDefault="00096C1C">
      <w:pPr>
        <w:pStyle w:val="Balk1"/>
        <w:spacing w:before="1" w:line="274" w:lineRule="exact"/>
        <w:ind w:left="826"/>
        <w:jc w:val="both"/>
      </w:pPr>
      <w:r>
        <w:t>Kredilendirme esasları</w:t>
      </w:r>
    </w:p>
    <w:p w14:paraId="358C9DB3" w14:textId="77777777" w:rsidR="000255F5" w:rsidRDefault="00096C1C">
      <w:pPr>
        <w:pStyle w:val="GvdeMetni"/>
        <w:ind w:right="118"/>
      </w:pPr>
      <w:r>
        <w:rPr>
          <w:b/>
        </w:rPr>
        <w:t xml:space="preserve">MADDE </w:t>
      </w:r>
      <w:proofErr w:type="gramStart"/>
      <w:r>
        <w:rPr>
          <w:b/>
        </w:rPr>
        <w:t>6 -</w:t>
      </w:r>
      <w:proofErr w:type="gramEnd"/>
      <w:r>
        <w:rPr>
          <w:b/>
        </w:rPr>
        <w:t xml:space="preserve"> </w:t>
      </w:r>
      <w:r>
        <w:t>(1)AKTS Kredilendirmesinde yarıyıl esasına (sömestre) göre eğitim yapılan kurumların bir yarıyıllık eğitimi en az 30 AKTS kredisi ve yıl esas</w:t>
      </w:r>
      <w:r>
        <w:t xml:space="preserve">ına göre eğitim yapılan kurumla- </w:t>
      </w:r>
      <w:proofErr w:type="spellStart"/>
      <w:r>
        <w:t>rın</w:t>
      </w:r>
      <w:proofErr w:type="spellEnd"/>
      <w:r>
        <w:t xml:space="preserve"> bir akademik yıllık eğitimi 60 AKTS kredisine eşdeğerdir.</w:t>
      </w:r>
    </w:p>
    <w:p w14:paraId="6E8ABC62" w14:textId="77777777" w:rsidR="000255F5" w:rsidRDefault="000255F5">
      <w:pPr>
        <w:sectPr w:rsidR="000255F5">
          <w:type w:val="continuous"/>
          <w:pgSz w:w="11910" w:h="16840"/>
          <w:pgMar w:top="1020" w:right="780" w:bottom="280" w:left="1300" w:header="708" w:footer="708" w:gutter="0"/>
          <w:cols w:space="708"/>
        </w:sectPr>
      </w:pPr>
    </w:p>
    <w:p w14:paraId="5B69EC11" w14:textId="77777777" w:rsidR="000255F5" w:rsidRDefault="00096C1C">
      <w:pPr>
        <w:pStyle w:val="ListeParagraf"/>
        <w:numPr>
          <w:ilvl w:val="0"/>
          <w:numId w:val="1"/>
        </w:numPr>
        <w:tabs>
          <w:tab w:val="left" w:pos="1108"/>
        </w:tabs>
        <w:spacing w:before="67"/>
        <w:ind w:right="129" w:firstLine="707"/>
        <w:jc w:val="both"/>
        <w:rPr>
          <w:sz w:val="24"/>
        </w:rPr>
      </w:pPr>
      <w:r>
        <w:rPr>
          <w:sz w:val="24"/>
        </w:rPr>
        <w:lastRenderedPageBreak/>
        <w:t>Bir akademik yılda üç dönem eğitim yapan kurumlarda her bir dönem eğitim 20 AKTS kredisine</w:t>
      </w:r>
      <w:r>
        <w:rPr>
          <w:spacing w:val="-2"/>
          <w:sz w:val="24"/>
        </w:rPr>
        <w:t xml:space="preserve"> </w:t>
      </w:r>
      <w:r>
        <w:rPr>
          <w:sz w:val="24"/>
        </w:rPr>
        <w:t>eşdeğerdir.</w:t>
      </w:r>
    </w:p>
    <w:p w14:paraId="09923ABF" w14:textId="77777777" w:rsidR="000255F5" w:rsidRDefault="00096C1C">
      <w:pPr>
        <w:pStyle w:val="ListeParagraf"/>
        <w:numPr>
          <w:ilvl w:val="0"/>
          <w:numId w:val="1"/>
        </w:numPr>
        <w:tabs>
          <w:tab w:val="left" w:pos="1108"/>
        </w:tabs>
        <w:ind w:left="1107" w:hanging="282"/>
        <w:jc w:val="both"/>
        <w:rPr>
          <w:sz w:val="24"/>
        </w:rPr>
      </w:pPr>
      <w:r>
        <w:rPr>
          <w:sz w:val="24"/>
        </w:rPr>
        <w:t>Bir AKTS kredisi yaklaşık 25-30 saatlik öğ</w:t>
      </w:r>
      <w:r>
        <w:rPr>
          <w:sz w:val="24"/>
        </w:rPr>
        <w:t>renci çalışmasının</w:t>
      </w:r>
      <w:r>
        <w:rPr>
          <w:spacing w:val="1"/>
          <w:sz w:val="24"/>
        </w:rPr>
        <w:t xml:space="preserve"> </w:t>
      </w:r>
      <w:r>
        <w:rPr>
          <w:sz w:val="24"/>
        </w:rPr>
        <w:t>karşılığıdır.</w:t>
      </w:r>
    </w:p>
    <w:p w14:paraId="49E45A72" w14:textId="77777777" w:rsidR="000255F5" w:rsidRDefault="00096C1C">
      <w:pPr>
        <w:pStyle w:val="ListeParagraf"/>
        <w:numPr>
          <w:ilvl w:val="0"/>
          <w:numId w:val="1"/>
        </w:numPr>
        <w:tabs>
          <w:tab w:val="left" w:pos="1108"/>
        </w:tabs>
        <w:ind w:right="118" w:firstLine="707"/>
        <w:jc w:val="both"/>
        <w:rPr>
          <w:sz w:val="24"/>
        </w:rPr>
      </w:pPr>
      <w:r>
        <w:rPr>
          <w:sz w:val="24"/>
        </w:rPr>
        <w:t xml:space="preserve">Bir dersin AKTS Kredisinin belirlenmesinde yıllık eğitim- öğretim programının tümünün yürütülmesi için gerekli öğrenci iş yükü göz önüne alınarak hesaplama yapılır. Bu amaçla her ders için öğrencinin kazanması gereken bilgi, beceri ve diğer eğitim-öğretim </w:t>
      </w:r>
      <w:r>
        <w:rPr>
          <w:sz w:val="24"/>
        </w:rPr>
        <w:t>gereksinimlerinin başarı ile tamamlanabilmesi için gerekli iş yüklerinin her birine belli bir kredi</w:t>
      </w:r>
      <w:r>
        <w:rPr>
          <w:spacing w:val="58"/>
          <w:sz w:val="24"/>
        </w:rPr>
        <w:t xml:space="preserve"> </w:t>
      </w:r>
      <w:r>
        <w:rPr>
          <w:sz w:val="24"/>
        </w:rPr>
        <w:t>verilir.</w:t>
      </w:r>
    </w:p>
    <w:p w14:paraId="586EB5EF" w14:textId="77777777" w:rsidR="000255F5" w:rsidRDefault="00096C1C">
      <w:pPr>
        <w:pStyle w:val="GvdeMetni"/>
        <w:ind w:right="117"/>
      </w:pPr>
      <w:r>
        <w:rPr>
          <w:b/>
        </w:rPr>
        <w:t xml:space="preserve">MADDE </w:t>
      </w:r>
      <w:proofErr w:type="gramStart"/>
      <w:r>
        <w:rPr>
          <w:b/>
        </w:rPr>
        <w:t>7 -</w:t>
      </w:r>
      <w:proofErr w:type="gramEnd"/>
      <w:r>
        <w:rPr>
          <w:b/>
        </w:rPr>
        <w:t xml:space="preserve"> (1)</w:t>
      </w:r>
      <w:r>
        <w:t>Bir AKTS kredisi öğrencilerin yapması gereken çalışmalara ilişkin öğren- me çıktıları göz önüne alınarak hesaplanır ve ilgili birim kurulu kararı ile Üniversite Senatosunun onayına sunulur. AKTS kredisi tam sayı olarak verilir. Ancak çok zorunlu durumlarda</w:t>
      </w:r>
      <w:r>
        <w:t xml:space="preserve"> buçuklu sayılar kullanılabilir.</w:t>
      </w:r>
    </w:p>
    <w:p w14:paraId="2A466898" w14:textId="4997F9C7" w:rsidR="000255F5" w:rsidRDefault="00096C1C">
      <w:pPr>
        <w:pStyle w:val="GvdeMetni"/>
        <w:ind w:right="117"/>
      </w:pPr>
      <w:r>
        <w:rPr>
          <w:b/>
        </w:rPr>
        <w:t xml:space="preserve">MADDE </w:t>
      </w:r>
      <w:proofErr w:type="gramStart"/>
      <w:r>
        <w:rPr>
          <w:b/>
        </w:rPr>
        <w:t>8 -</w:t>
      </w:r>
      <w:proofErr w:type="gramEnd"/>
      <w:r>
        <w:rPr>
          <w:b/>
        </w:rPr>
        <w:t xml:space="preserve"> (1)</w:t>
      </w:r>
      <w:r w:rsidR="008F799B">
        <w:rPr>
          <w:b/>
        </w:rPr>
        <w:t xml:space="preserve"> </w:t>
      </w:r>
      <w:r w:rsidR="008F799B" w:rsidRPr="008F799B">
        <w:rPr>
          <w:bCs/>
        </w:rPr>
        <w:t>Tekirdağ</w:t>
      </w:r>
      <w:r w:rsidR="008F799B">
        <w:rPr>
          <w:b/>
        </w:rPr>
        <w:t xml:space="preserve"> </w:t>
      </w:r>
      <w:r>
        <w:t>Namık Kemal Üniversitesi ile yurtdışındaki bir üniversite arasında yapılan anlaşmalar uyarınca öğrenci değişim programları çerçevesinde ders alma ile ilgili olarak yurt dışın</w:t>
      </w:r>
      <w:r>
        <w:t>daki üniversitelere bir veya iki y</w:t>
      </w:r>
      <w:r>
        <w:t>arıyıl süre ile öğrenci gönderilebilir. Bu süre içerisinde öğrenci harçlarını ödemeye devam eder ve bu süre eğitim-öğretim süresinden sayılır.</w:t>
      </w:r>
    </w:p>
    <w:p w14:paraId="6A274FBB" w14:textId="77777777" w:rsidR="000255F5" w:rsidRDefault="00096C1C">
      <w:pPr>
        <w:pStyle w:val="GvdeMetni"/>
        <w:spacing w:before="1"/>
        <w:ind w:right="122"/>
      </w:pPr>
      <w:r>
        <w:rPr>
          <w:b/>
        </w:rPr>
        <w:t xml:space="preserve">MADDE </w:t>
      </w:r>
      <w:proofErr w:type="gramStart"/>
      <w:r>
        <w:rPr>
          <w:b/>
        </w:rPr>
        <w:t>9 -</w:t>
      </w:r>
      <w:proofErr w:type="gramEnd"/>
      <w:r>
        <w:rPr>
          <w:b/>
        </w:rPr>
        <w:t xml:space="preserve"> </w:t>
      </w:r>
      <w:r>
        <w:t>(1)Yurtdışına gönderilen öğrenciler, gittikleri dönem için kendi bölümünden/ programından almaları gere</w:t>
      </w:r>
      <w:r>
        <w:t xml:space="preserve">ken dersler yerine, gittikleri üniversitede aldıkları derslerden sorumlu sayılırlar. Bu derslerin seçimi, </w:t>
      </w:r>
      <w:proofErr w:type="spellStart"/>
      <w:r>
        <w:t>Erasmus</w:t>
      </w:r>
      <w:proofErr w:type="spellEnd"/>
      <w:r>
        <w:t xml:space="preserve"> Bölüm Koordinatörlerinin nezaretinde yapılır. Ders say- </w:t>
      </w:r>
      <w:proofErr w:type="spellStart"/>
      <w:r>
        <w:t>dırma</w:t>
      </w:r>
      <w:proofErr w:type="spellEnd"/>
      <w:r>
        <w:t xml:space="preserve"> işlemleri (Tanınırlık), NKÜ </w:t>
      </w:r>
      <w:proofErr w:type="spellStart"/>
      <w:r>
        <w:t>Erasmus</w:t>
      </w:r>
      <w:proofErr w:type="spellEnd"/>
      <w:r>
        <w:t xml:space="preserve"> Öğrenci Değişimi Yönergesi madde 11’de belir</w:t>
      </w:r>
      <w:r>
        <w:t>tilen hususlara göre gerçekleştirilir.</w:t>
      </w:r>
    </w:p>
    <w:p w14:paraId="012AA1D6" w14:textId="77777777" w:rsidR="000255F5" w:rsidRDefault="00096C1C">
      <w:pPr>
        <w:pStyle w:val="GvdeMetni"/>
        <w:ind w:right="119"/>
      </w:pPr>
      <w:r>
        <w:rPr>
          <w:b/>
        </w:rPr>
        <w:t xml:space="preserve">MADDE </w:t>
      </w:r>
      <w:proofErr w:type="gramStart"/>
      <w:r>
        <w:rPr>
          <w:b/>
        </w:rPr>
        <w:t>10 -</w:t>
      </w:r>
      <w:proofErr w:type="gramEnd"/>
      <w:r>
        <w:rPr>
          <w:b/>
        </w:rPr>
        <w:t xml:space="preserve"> </w:t>
      </w:r>
      <w:r>
        <w:t xml:space="preserve">(1)Öğrencilerin yurtdışındaki bu derslerden aldıkları AKTS/ECTS notları, yönergenin 3 </w:t>
      </w:r>
      <w:proofErr w:type="spellStart"/>
      <w:r>
        <w:t>ncü</w:t>
      </w:r>
      <w:proofErr w:type="spellEnd"/>
      <w:r>
        <w:t xml:space="preserve"> maddesinde belirtilen yönetmelikler ve AKTS/ECTS </w:t>
      </w:r>
      <w:proofErr w:type="spellStart"/>
      <w:r>
        <w:t>Notlandırma</w:t>
      </w:r>
      <w:proofErr w:type="spellEnd"/>
      <w:r>
        <w:t xml:space="preserve"> Sisteminden yararlanılarak değerlendirilebilir.</w:t>
      </w:r>
    </w:p>
    <w:p w14:paraId="5B8F4D9B" w14:textId="19ACF6BC" w:rsidR="000255F5" w:rsidRDefault="00096C1C">
      <w:pPr>
        <w:pStyle w:val="GvdeMetni"/>
        <w:ind w:right="120"/>
      </w:pPr>
      <w:r>
        <w:rPr>
          <w:b/>
        </w:rPr>
        <w:t xml:space="preserve">MADDE </w:t>
      </w:r>
      <w:proofErr w:type="gramStart"/>
      <w:r>
        <w:rPr>
          <w:b/>
        </w:rPr>
        <w:t>1</w:t>
      </w:r>
      <w:r>
        <w:rPr>
          <w:b/>
        </w:rPr>
        <w:t>1 -</w:t>
      </w:r>
      <w:proofErr w:type="gramEnd"/>
      <w:r>
        <w:rPr>
          <w:b/>
        </w:rPr>
        <w:t xml:space="preserve"> </w:t>
      </w:r>
      <w:r>
        <w:t>(1)</w:t>
      </w:r>
      <w:r w:rsidR="008F799B">
        <w:t xml:space="preserve"> Tekirdağ </w:t>
      </w:r>
      <w:r>
        <w:t>Namık Kemal Üniversitesi, programlarına kabul ettiği öğrencilerin yurt içi veya yurt dışındaki yükseköğretim kurumlarından aldıkları AKTS kredilerini tanır.</w:t>
      </w:r>
    </w:p>
    <w:p w14:paraId="23A11C5C" w14:textId="049DD907" w:rsidR="000255F5" w:rsidRDefault="00096C1C">
      <w:pPr>
        <w:pStyle w:val="GvdeMetni"/>
        <w:ind w:right="125"/>
      </w:pPr>
      <w:r>
        <w:rPr>
          <w:b/>
        </w:rPr>
        <w:t xml:space="preserve">MADDE </w:t>
      </w:r>
      <w:proofErr w:type="gramStart"/>
      <w:r>
        <w:rPr>
          <w:b/>
        </w:rPr>
        <w:t>12 -</w:t>
      </w:r>
      <w:proofErr w:type="gramEnd"/>
      <w:r>
        <w:rPr>
          <w:b/>
        </w:rPr>
        <w:t xml:space="preserve"> </w:t>
      </w:r>
      <w:r>
        <w:t>(1)</w:t>
      </w:r>
      <w:r w:rsidR="008F799B">
        <w:t xml:space="preserve"> Tekirdağ </w:t>
      </w:r>
      <w:r>
        <w:t>Namık Kemal Üniversitesi, öğrenci değişim programı çerçevesinde gelen öğrencil</w:t>
      </w:r>
      <w:r>
        <w:t>erin akademik başarıları ile ilgili tüm konularda karar verme yetkisine sahiptir.</w:t>
      </w:r>
    </w:p>
    <w:p w14:paraId="76C9CDAF" w14:textId="77777777" w:rsidR="000255F5" w:rsidRDefault="000255F5">
      <w:pPr>
        <w:pStyle w:val="GvdeMetni"/>
        <w:spacing w:before="5"/>
        <w:ind w:left="0" w:firstLine="0"/>
        <w:jc w:val="left"/>
        <w:rPr>
          <w:sz w:val="16"/>
        </w:rPr>
      </w:pPr>
    </w:p>
    <w:p w14:paraId="36E4B1BA" w14:textId="77777777" w:rsidR="000255F5" w:rsidRDefault="00096C1C">
      <w:pPr>
        <w:pStyle w:val="Balk1"/>
        <w:spacing w:before="90"/>
        <w:ind w:right="808"/>
      </w:pPr>
      <w:r>
        <w:t>ÜÇÜNCÜ BÖLÜM</w:t>
      </w:r>
    </w:p>
    <w:p w14:paraId="7E830FD9" w14:textId="77777777" w:rsidR="000255F5" w:rsidRDefault="00096C1C">
      <w:pPr>
        <w:ind w:left="807" w:right="810"/>
        <w:jc w:val="center"/>
        <w:rPr>
          <w:b/>
          <w:sz w:val="24"/>
        </w:rPr>
      </w:pPr>
      <w:r>
        <w:rPr>
          <w:b/>
          <w:sz w:val="24"/>
        </w:rPr>
        <w:t>Çeşitli ve Son Hükümler</w:t>
      </w:r>
    </w:p>
    <w:p w14:paraId="0503EB86" w14:textId="77777777" w:rsidR="000255F5" w:rsidRDefault="00096C1C">
      <w:pPr>
        <w:ind w:left="807" w:right="6175"/>
        <w:jc w:val="center"/>
        <w:rPr>
          <w:b/>
          <w:sz w:val="24"/>
        </w:rPr>
      </w:pPr>
      <w:r>
        <w:rPr>
          <w:b/>
          <w:sz w:val="24"/>
        </w:rPr>
        <w:t>Hüküm bulunmayan haller</w:t>
      </w:r>
    </w:p>
    <w:p w14:paraId="026F388B" w14:textId="77777777" w:rsidR="000255F5" w:rsidRDefault="00096C1C">
      <w:pPr>
        <w:pStyle w:val="GvdeMetni"/>
        <w:ind w:right="118"/>
      </w:pPr>
      <w:r>
        <w:rPr>
          <w:b/>
        </w:rPr>
        <w:t xml:space="preserve">MADDE </w:t>
      </w:r>
      <w:proofErr w:type="gramStart"/>
      <w:r>
        <w:rPr>
          <w:b/>
        </w:rPr>
        <w:t>13 -</w:t>
      </w:r>
      <w:proofErr w:type="gramEnd"/>
      <w:r>
        <w:rPr>
          <w:b/>
        </w:rPr>
        <w:t xml:space="preserve"> </w:t>
      </w:r>
      <w:r>
        <w:t xml:space="preserve">(1)Bu yönergede hüküm bulunmayan konularda, yönergenin 3 </w:t>
      </w:r>
      <w:proofErr w:type="spellStart"/>
      <w:r>
        <w:t>ncü</w:t>
      </w:r>
      <w:proofErr w:type="spellEnd"/>
      <w:r>
        <w:t xml:space="preserve"> madde- sinde belirtilen yönetmelikler ve</w:t>
      </w:r>
      <w:r>
        <w:t xml:space="preserve"> Avrupa Birliği Eğitim ve Gençlik Programları Merkezi (Ulusal Ajans) tarafından her akademik yıl için hazırlanan “LLP-</w:t>
      </w:r>
      <w:proofErr w:type="spellStart"/>
      <w:r>
        <w:t>Erasmus</w:t>
      </w:r>
      <w:proofErr w:type="spellEnd"/>
      <w:r>
        <w:t xml:space="preserve"> Uygulama </w:t>
      </w:r>
      <w:proofErr w:type="spellStart"/>
      <w:r>
        <w:t>Elkitabı”nda</w:t>
      </w:r>
      <w:proofErr w:type="spellEnd"/>
      <w:r>
        <w:t xml:space="preserve"> geçen hükümlere göre işlem yapılır.</w:t>
      </w:r>
    </w:p>
    <w:p w14:paraId="7FD8DD32" w14:textId="77777777" w:rsidR="000255F5" w:rsidRDefault="00096C1C">
      <w:pPr>
        <w:pStyle w:val="Balk1"/>
        <w:spacing w:line="274" w:lineRule="exact"/>
        <w:ind w:left="826"/>
        <w:jc w:val="left"/>
      </w:pPr>
      <w:proofErr w:type="spellStart"/>
      <w:r>
        <w:t>Yürürlülük</w:t>
      </w:r>
      <w:proofErr w:type="spellEnd"/>
    </w:p>
    <w:p w14:paraId="3DAAC9EB" w14:textId="5E234182" w:rsidR="000255F5" w:rsidRDefault="00096C1C">
      <w:pPr>
        <w:pStyle w:val="GvdeMetni"/>
        <w:ind w:right="53"/>
        <w:jc w:val="left"/>
      </w:pPr>
      <w:r>
        <w:rPr>
          <w:b/>
        </w:rPr>
        <w:t xml:space="preserve">MADDE </w:t>
      </w:r>
      <w:proofErr w:type="gramStart"/>
      <w:r>
        <w:rPr>
          <w:b/>
        </w:rPr>
        <w:t>14 -</w:t>
      </w:r>
      <w:proofErr w:type="gramEnd"/>
      <w:r>
        <w:rPr>
          <w:b/>
        </w:rPr>
        <w:t xml:space="preserve"> </w:t>
      </w:r>
      <w:r>
        <w:t xml:space="preserve">(1)Bu Yönerge, </w:t>
      </w:r>
      <w:r w:rsidR="008F799B">
        <w:t xml:space="preserve">Tekirdağ </w:t>
      </w:r>
      <w:r>
        <w:t>Namık Kemal Üniversitesi Senatosu t</w:t>
      </w:r>
      <w:r>
        <w:t xml:space="preserve">arafından kabul edil- </w:t>
      </w:r>
      <w:proofErr w:type="spellStart"/>
      <w:r>
        <w:t>diği</w:t>
      </w:r>
      <w:proofErr w:type="spellEnd"/>
      <w:r>
        <w:t xml:space="preserve"> tarihte yürürlüğe girer.</w:t>
      </w:r>
    </w:p>
    <w:p w14:paraId="5C11056D" w14:textId="77777777" w:rsidR="000255F5" w:rsidRDefault="00096C1C">
      <w:pPr>
        <w:pStyle w:val="Balk1"/>
        <w:spacing w:before="4" w:line="274" w:lineRule="exact"/>
        <w:ind w:left="826"/>
        <w:jc w:val="left"/>
      </w:pPr>
      <w:r>
        <w:t>Yürütme</w:t>
      </w:r>
    </w:p>
    <w:p w14:paraId="140A0443" w14:textId="5E0DDC20" w:rsidR="000255F5" w:rsidRDefault="00096C1C">
      <w:pPr>
        <w:pStyle w:val="GvdeMetni"/>
        <w:spacing w:line="274" w:lineRule="exact"/>
        <w:ind w:left="826" w:firstLine="0"/>
        <w:jc w:val="left"/>
        <w:rPr>
          <w:rFonts w:ascii="Arial" w:hAnsi="Arial"/>
          <w:sz w:val="20"/>
        </w:rPr>
      </w:pPr>
      <w:r>
        <w:rPr>
          <w:b/>
        </w:rPr>
        <w:t xml:space="preserve">MADDE </w:t>
      </w:r>
      <w:proofErr w:type="gramStart"/>
      <w:r>
        <w:rPr>
          <w:b/>
        </w:rPr>
        <w:t>15 -</w:t>
      </w:r>
      <w:proofErr w:type="gramEnd"/>
      <w:r>
        <w:rPr>
          <w:b/>
        </w:rPr>
        <w:t xml:space="preserve"> </w:t>
      </w:r>
      <w:r>
        <w:t xml:space="preserve">(1)Bu Yönerge, </w:t>
      </w:r>
      <w:r w:rsidR="008F799B">
        <w:t xml:space="preserve">Tekirdağ </w:t>
      </w:r>
      <w:r>
        <w:t>Namık Kemal Üniversitesi Rektörü tarafından yürütülür</w:t>
      </w:r>
      <w:r>
        <w:rPr>
          <w:rFonts w:ascii="Arial" w:hAnsi="Arial"/>
          <w:sz w:val="20"/>
        </w:rPr>
        <w:t>.</w:t>
      </w:r>
    </w:p>
    <w:sectPr w:rsidR="000255F5">
      <w:pgSz w:w="11910" w:h="16840"/>
      <w:pgMar w:top="900" w:right="7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077"/>
    <w:multiLevelType w:val="hybridMultilevel"/>
    <w:tmpl w:val="8E46B474"/>
    <w:lvl w:ilvl="0" w:tplc="4ABEC5E0">
      <w:start w:val="2"/>
      <w:numFmt w:val="decimal"/>
      <w:lvlText w:val="(%1)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tr-TR" w:eastAsia="tr-TR" w:bidi="tr-TR"/>
      </w:rPr>
    </w:lvl>
    <w:lvl w:ilvl="1" w:tplc="B8622048">
      <w:numFmt w:val="bullet"/>
      <w:lvlText w:val="•"/>
      <w:lvlJc w:val="left"/>
      <w:pPr>
        <w:ind w:left="1090" w:hanging="281"/>
      </w:pPr>
      <w:rPr>
        <w:rFonts w:hint="default"/>
        <w:lang w:val="tr-TR" w:eastAsia="tr-TR" w:bidi="tr-TR"/>
      </w:rPr>
    </w:lvl>
    <w:lvl w:ilvl="2" w:tplc="C2E8F8AC">
      <w:numFmt w:val="bullet"/>
      <w:lvlText w:val="•"/>
      <w:lvlJc w:val="left"/>
      <w:pPr>
        <w:ind w:left="2061" w:hanging="281"/>
      </w:pPr>
      <w:rPr>
        <w:rFonts w:hint="default"/>
        <w:lang w:val="tr-TR" w:eastAsia="tr-TR" w:bidi="tr-TR"/>
      </w:rPr>
    </w:lvl>
    <w:lvl w:ilvl="3" w:tplc="5F34C976">
      <w:numFmt w:val="bullet"/>
      <w:lvlText w:val="•"/>
      <w:lvlJc w:val="left"/>
      <w:pPr>
        <w:ind w:left="3031" w:hanging="281"/>
      </w:pPr>
      <w:rPr>
        <w:rFonts w:hint="default"/>
        <w:lang w:val="tr-TR" w:eastAsia="tr-TR" w:bidi="tr-TR"/>
      </w:rPr>
    </w:lvl>
    <w:lvl w:ilvl="4" w:tplc="3260E43E">
      <w:numFmt w:val="bullet"/>
      <w:lvlText w:val="•"/>
      <w:lvlJc w:val="left"/>
      <w:pPr>
        <w:ind w:left="4002" w:hanging="281"/>
      </w:pPr>
      <w:rPr>
        <w:rFonts w:hint="default"/>
        <w:lang w:val="tr-TR" w:eastAsia="tr-TR" w:bidi="tr-TR"/>
      </w:rPr>
    </w:lvl>
    <w:lvl w:ilvl="5" w:tplc="9EA49BD2">
      <w:numFmt w:val="bullet"/>
      <w:lvlText w:val="•"/>
      <w:lvlJc w:val="left"/>
      <w:pPr>
        <w:ind w:left="4973" w:hanging="281"/>
      </w:pPr>
      <w:rPr>
        <w:rFonts w:hint="default"/>
        <w:lang w:val="tr-TR" w:eastAsia="tr-TR" w:bidi="tr-TR"/>
      </w:rPr>
    </w:lvl>
    <w:lvl w:ilvl="6" w:tplc="6E94C09E">
      <w:numFmt w:val="bullet"/>
      <w:lvlText w:val="•"/>
      <w:lvlJc w:val="left"/>
      <w:pPr>
        <w:ind w:left="5943" w:hanging="281"/>
      </w:pPr>
      <w:rPr>
        <w:rFonts w:hint="default"/>
        <w:lang w:val="tr-TR" w:eastAsia="tr-TR" w:bidi="tr-TR"/>
      </w:rPr>
    </w:lvl>
    <w:lvl w:ilvl="7" w:tplc="000ADB60">
      <w:numFmt w:val="bullet"/>
      <w:lvlText w:val="•"/>
      <w:lvlJc w:val="left"/>
      <w:pPr>
        <w:ind w:left="6914" w:hanging="281"/>
      </w:pPr>
      <w:rPr>
        <w:rFonts w:hint="default"/>
        <w:lang w:val="tr-TR" w:eastAsia="tr-TR" w:bidi="tr-TR"/>
      </w:rPr>
    </w:lvl>
    <w:lvl w:ilvl="8" w:tplc="8612C88E">
      <w:numFmt w:val="bullet"/>
      <w:lvlText w:val="•"/>
      <w:lvlJc w:val="left"/>
      <w:pPr>
        <w:ind w:left="7885" w:hanging="28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F5"/>
    <w:rsid w:val="000255F5"/>
    <w:rsid w:val="00096C1C"/>
    <w:rsid w:val="008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AD3C"/>
  <w15:docId w15:val="{5FB17D62-4E13-4A71-8FBF-888AAEC5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80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 w:firstLine="707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-2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NAMIK KEMAL ÜNİVERSİTESİ </vt:lpstr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NAMIK KEMAL ÜNİVERSİTESİ</dc:title>
  <dc:creator>VESTEL</dc:creator>
  <cp:lastModifiedBy>GÜNEŞ</cp:lastModifiedBy>
  <cp:revision>2</cp:revision>
  <dcterms:created xsi:type="dcterms:W3CDTF">2021-11-07T12:15:00Z</dcterms:created>
  <dcterms:modified xsi:type="dcterms:W3CDTF">2021-11-07T12:15:00Z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