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372B" w14:textId="59FAD0D3" w:rsidR="009D1126" w:rsidRDefault="009D1126">
      <w:pPr>
        <w:pStyle w:val="GvdeMetni"/>
        <w:spacing w:before="4"/>
        <w:ind w:left="0" w:firstLine="0"/>
        <w:rPr>
          <w:sz w:val="20"/>
        </w:rPr>
      </w:pPr>
    </w:p>
    <w:p w14:paraId="062A05A6" w14:textId="1527605D" w:rsidR="00F024E2" w:rsidRDefault="00F024E2">
      <w:pPr>
        <w:pStyle w:val="GvdeMetni"/>
        <w:spacing w:before="4"/>
        <w:ind w:left="0" w:firstLine="0"/>
        <w:rPr>
          <w:sz w:val="20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9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3738"/>
        <w:gridCol w:w="1985"/>
        <w:gridCol w:w="1992"/>
      </w:tblGrid>
      <w:tr w:rsidR="00F024E2" w:rsidRPr="004C4A7F" w14:paraId="17996F77" w14:textId="77777777" w:rsidTr="00744D18">
        <w:trPr>
          <w:trHeight w:val="274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C7B8A7D" w14:textId="7AECB833" w:rsidR="00F024E2" w:rsidRPr="004C4A7F" w:rsidRDefault="00F024E2" w:rsidP="00F024E2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0FCB8D34" wp14:editId="129239A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10160</wp:posOffset>
                  </wp:positionV>
                  <wp:extent cx="1066800" cy="9620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7C9741" w14:textId="276C25A3" w:rsidR="00F024E2" w:rsidRPr="004C4A7F" w:rsidRDefault="00F024E2" w:rsidP="00F024E2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8C37B25" w14:textId="1E983575" w:rsidR="00F024E2" w:rsidRPr="004C4A7F" w:rsidRDefault="00F024E2" w:rsidP="00F024E2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TÜRKÇE ÖĞRETİMİ UYGULAMA VE ARAŞTIRMA MERKEZİ YÖNETMELİĞİ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80ECF" w14:textId="77777777" w:rsidR="00F024E2" w:rsidRPr="00F024E2" w:rsidRDefault="00F024E2" w:rsidP="00F024E2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3D0945" w14:textId="7556E983" w:rsidR="00F024E2" w:rsidRPr="00F024E2" w:rsidRDefault="00F024E2" w:rsidP="00F024E2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024E2">
              <w:rPr>
                <w:rFonts w:eastAsia="Calibri"/>
                <w:sz w:val="20"/>
                <w:szCs w:val="20"/>
                <w:lang w:eastAsia="tr-TR" w:bidi="tr-TR"/>
              </w:rPr>
              <w:t>EYS-YNT-007</w:t>
            </w:r>
          </w:p>
        </w:tc>
      </w:tr>
      <w:tr w:rsidR="00F024E2" w:rsidRPr="004C4A7F" w14:paraId="10A06CBA" w14:textId="77777777" w:rsidTr="00744D18">
        <w:trPr>
          <w:trHeight w:val="248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455E212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DCED56F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D7C5" w14:textId="77777777" w:rsidR="00F024E2" w:rsidRPr="00F024E2" w:rsidRDefault="00F024E2" w:rsidP="00F024E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086F3D" w14:textId="22492B38" w:rsidR="00F024E2" w:rsidRPr="00F024E2" w:rsidRDefault="00F024E2" w:rsidP="00F024E2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024E2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F024E2" w:rsidRPr="004C4A7F" w14:paraId="1D560F6E" w14:textId="77777777" w:rsidTr="00744D18">
        <w:trPr>
          <w:trHeight w:val="266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577CED1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46316C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BBB2" w14:textId="77777777" w:rsidR="00F024E2" w:rsidRPr="00F024E2" w:rsidRDefault="00F024E2" w:rsidP="00F024E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479618" w14:textId="6C0BDB15" w:rsidR="00F024E2" w:rsidRPr="00F024E2" w:rsidRDefault="00F024E2" w:rsidP="00F024E2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024E2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F024E2" w:rsidRPr="004C4A7F" w14:paraId="775A5AD8" w14:textId="77777777" w:rsidTr="00744D18">
        <w:trPr>
          <w:trHeight w:val="256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99ABA58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EB6B1C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8B9EF" w14:textId="77777777" w:rsidR="00F024E2" w:rsidRPr="00F024E2" w:rsidRDefault="00F024E2" w:rsidP="00F024E2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81D879" w14:textId="1DE0A95F" w:rsidR="00F024E2" w:rsidRPr="00F024E2" w:rsidRDefault="00F024E2" w:rsidP="00F024E2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024E2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F024E2" w:rsidRPr="004C4A7F" w14:paraId="4519F4A7" w14:textId="77777777" w:rsidTr="00744D18">
        <w:trPr>
          <w:trHeight w:val="46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5BF5D8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35688" w14:textId="77777777" w:rsidR="00F024E2" w:rsidRPr="004C4A7F" w:rsidRDefault="00F024E2" w:rsidP="00F024E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523043" w14:textId="696B80DE" w:rsidR="00F024E2" w:rsidRPr="00F024E2" w:rsidRDefault="00F024E2" w:rsidP="00F024E2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F024E2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124139" w14:textId="4ECE54FD" w:rsidR="00F024E2" w:rsidRPr="00F024E2" w:rsidRDefault="00F024E2" w:rsidP="00F024E2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F024E2">
              <w:rPr>
                <w:rFonts w:eastAsia="Calibri"/>
                <w:sz w:val="20"/>
                <w:szCs w:val="20"/>
                <w:lang w:eastAsia="tr-TR" w:bidi="tr-TR"/>
              </w:rPr>
              <w:t>3</w:t>
            </w:r>
          </w:p>
          <w:p w14:paraId="775CFB19" w14:textId="77777777" w:rsidR="00F024E2" w:rsidRPr="00F024E2" w:rsidRDefault="00F024E2" w:rsidP="00F024E2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6E5BFBE0" w14:textId="77777777" w:rsidR="009D1126" w:rsidRDefault="009D1126">
      <w:pPr>
        <w:pStyle w:val="GvdeMetni"/>
        <w:spacing w:before="2"/>
        <w:ind w:left="0" w:firstLine="0"/>
        <w:rPr>
          <w:b/>
          <w:sz w:val="16"/>
        </w:rPr>
      </w:pPr>
    </w:p>
    <w:p w14:paraId="59DAA2E8" w14:textId="77777777" w:rsidR="009D1126" w:rsidRDefault="00744D18">
      <w:pPr>
        <w:spacing w:before="90"/>
        <w:ind w:left="2741" w:right="2177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33A872BA" w14:textId="77777777" w:rsidR="009D1126" w:rsidRDefault="00744D18">
      <w:pPr>
        <w:ind w:left="2741" w:right="2182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6046183E" w14:textId="77777777" w:rsidR="009D1126" w:rsidRDefault="00744D18">
      <w:pPr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7C1CF815" w14:textId="7F771A10" w:rsidR="009D1126" w:rsidRDefault="00744D18">
      <w:pPr>
        <w:pStyle w:val="GvdeMetni"/>
        <w:ind w:right="118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 w:rsidR="00F024E2">
        <w:rPr>
          <w:color w:val="1C283C"/>
        </w:rPr>
        <w:t>Tekirdağ</w:t>
      </w:r>
      <w:proofErr w:type="spellEnd"/>
      <w:r w:rsidR="00F024E2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kurulan</w:t>
      </w:r>
      <w:proofErr w:type="spellEnd"/>
      <w:r>
        <w:rPr>
          <w:color w:val="1C283C"/>
        </w:rPr>
        <w:t xml:space="preserve"> </w:t>
      </w:r>
      <w:proofErr w:type="spellStart"/>
      <w:r w:rsidR="00F024E2">
        <w:rPr>
          <w:color w:val="1C283C"/>
        </w:rPr>
        <w:t>Tekirdağ</w:t>
      </w:r>
      <w:proofErr w:type="spellEnd"/>
      <w:r w:rsidR="00F024E2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Türkçe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7E663D9A" w14:textId="77777777" w:rsidR="009D1126" w:rsidRDefault="00744D18">
      <w:pPr>
        <w:pStyle w:val="Balk1"/>
        <w:spacing w:before="1" w:line="274" w:lineRule="exact"/>
      </w:pPr>
      <w:proofErr w:type="spellStart"/>
      <w:r>
        <w:rPr>
          <w:color w:val="1C283C"/>
        </w:rPr>
        <w:t>Kapsam</w:t>
      </w:r>
      <w:proofErr w:type="spellEnd"/>
    </w:p>
    <w:p w14:paraId="33564671" w14:textId="3909BDCF" w:rsidR="009D1126" w:rsidRDefault="00744D18">
      <w:pPr>
        <w:pStyle w:val="GvdeMetni"/>
        <w:ind w:right="118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</w:t>
      </w:r>
      <w:proofErr w:type="spellStart"/>
      <w:r w:rsidR="00F024E2">
        <w:rPr>
          <w:color w:val="1C283C"/>
        </w:rPr>
        <w:t>Tekirdağ</w:t>
      </w:r>
      <w:proofErr w:type="spellEnd"/>
      <w:r w:rsidR="00F024E2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kurulan</w:t>
      </w:r>
      <w:proofErr w:type="spellEnd"/>
      <w:r>
        <w:rPr>
          <w:color w:val="1C283C"/>
        </w:rPr>
        <w:t xml:space="preserve"> </w:t>
      </w:r>
      <w:proofErr w:type="spellStart"/>
      <w:r w:rsidR="00F024E2">
        <w:rPr>
          <w:color w:val="1C283C"/>
        </w:rPr>
        <w:t>Tekirdağ</w:t>
      </w:r>
      <w:proofErr w:type="spellEnd"/>
      <w:r w:rsidR="00F024E2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Türkçe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</w:t>
      </w:r>
      <w:r>
        <w:rPr>
          <w:color w:val="1C283C"/>
        </w:rPr>
        <w:t>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0FD91C85" w14:textId="77777777" w:rsidR="009D1126" w:rsidRDefault="00744D18">
      <w:pPr>
        <w:pStyle w:val="Balk1"/>
        <w:spacing w:before="3" w:line="274" w:lineRule="exact"/>
      </w:pPr>
      <w:proofErr w:type="spellStart"/>
      <w:r>
        <w:rPr>
          <w:color w:val="1C283C"/>
        </w:rPr>
        <w:t>Dayanak</w:t>
      </w:r>
      <w:proofErr w:type="spellEnd"/>
    </w:p>
    <w:p w14:paraId="1727C807" w14:textId="77777777" w:rsidR="009D1126" w:rsidRDefault="00744D18">
      <w:pPr>
        <w:pStyle w:val="GvdeMetni"/>
        <w:ind w:right="118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,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6C316060" w14:textId="77777777" w:rsidR="009D1126" w:rsidRDefault="00744D18">
      <w:pPr>
        <w:pStyle w:val="Balk1"/>
        <w:spacing w:before="2" w:line="274" w:lineRule="exact"/>
      </w:pPr>
      <w:proofErr w:type="spellStart"/>
      <w:r>
        <w:rPr>
          <w:color w:val="1C283C"/>
        </w:rPr>
        <w:t>Tanımlar</w:t>
      </w:r>
      <w:proofErr w:type="spellEnd"/>
    </w:p>
    <w:p w14:paraId="3D4B26AE" w14:textId="77777777" w:rsidR="009D1126" w:rsidRDefault="00744D18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</w:t>
      </w:r>
      <w:r>
        <w:rPr>
          <w:b/>
          <w:color w:val="1C283C"/>
          <w:sz w:val="24"/>
        </w:rPr>
        <w:t xml:space="preserve">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0717B8F5" w14:textId="3D977473" w:rsidR="009D1126" w:rsidRDefault="00744D18">
      <w:pPr>
        <w:pStyle w:val="ListeParagraf"/>
        <w:numPr>
          <w:ilvl w:val="0"/>
          <w:numId w:val="7"/>
        </w:numPr>
        <w:tabs>
          <w:tab w:val="left" w:pos="1012"/>
        </w:tabs>
        <w:ind w:right="122" w:firstLine="566"/>
        <w:rPr>
          <w:sz w:val="24"/>
        </w:rPr>
      </w:pPr>
      <w:r>
        <w:rPr>
          <w:color w:val="1C283C"/>
          <w:sz w:val="24"/>
        </w:rPr>
        <w:t xml:space="preserve">Merkez (TÖMER): </w:t>
      </w:r>
      <w:proofErr w:type="spellStart"/>
      <w:r w:rsidR="00F024E2">
        <w:rPr>
          <w:color w:val="1C283C"/>
          <w:sz w:val="24"/>
        </w:rPr>
        <w:t>Tekirdağ</w:t>
      </w:r>
      <w:proofErr w:type="spellEnd"/>
      <w:r w:rsidR="00F024E2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Türkçe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341F3704" w14:textId="77777777" w:rsidR="009D1126" w:rsidRDefault="00744D18">
      <w:pPr>
        <w:pStyle w:val="ListeParagraf"/>
        <w:numPr>
          <w:ilvl w:val="0"/>
          <w:numId w:val="7"/>
        </w:numPr>
        <w:tabs>
          <w:tab w:val="left" w:pos="943"/>
        </w:tabs>
        <w:spacing w:before="1"/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Müdürünü</w:t>
      </w:r>
      <w:proofErr w:type="spellEnd"/>
      <w:r>
        <w:rPr>
          <w:color w:val="1C283C"/>
          <w:sz w:val="24"/>
        </w:rPr>
        <w:t>,</w:t>
      </w:r>
    </w:p>
    <w:p w14:paraId="2C8E6E25" w14:textId="44489D80" w:rsidR="009D1126" w:rsidRDefault="00744D18">
      <w:pPr>
        <w:pStyle w:val="ListeParagraf"/>
        <w:numPr>
          <w:ilvl w:val="0"/>
          <w:numId w:val="7"/>
        </w:numPr>
        <w:tabs>
          <w:tab w:val="left" w:pos="929"/>
        </w:tabs>
        <w:ind w:left="682" w:right="3463" w:firstLine="0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Yardımcısını</w:t>
      </w:r>
      <w:proofErr w:type="spellEnd"/>
      <w:r>
        <w:rPr>
          <w:color w:val="1C283C"/>
          <w:sz w:val="24"/>
        </w:rPr>
        <w:t xml:space="preserve">, ç) </w:t>
      </w: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F024E2">
        <w:rPr>
          <w:color w:val="1C283C"/>
          <w:sz w:val="24"/>
        </w:rPr>
        <w:t>Tekirdağ</w:t>
      </w:r>
      <w:proofErr w:type="spellEnd"/>
      <w:r w:rsidR="00F024E2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9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6F24452D" w14:textId="12C76E0A" w:rsidR="009D1126" w:rsidRDefault="00744D18">
      <w:pPr>
        <w:pStyle w:val="ListeParagraf"/>
        <w:numPr>
          <w:ilvl w:val="0"/>
          <w:numId w:val="7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F024E2">
        <w:rPr>
          <w:color w:val="1C283C"/>
          <w:sz w:val="24"/>
        </w:rPr>
        <w:t>Tekirdağ</w:t>
      </w:r>
      <w:proofErr w:type="spellEnd"/>
      <w:r w:rsidR="00F024E2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</w:t>
      </w:r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5D7EB0FA" w14:textId="77777777" w:rsidR="009D1126" w:rsidRDefault="00744D18">
      <w:pPr>
        <w:pStyle w:val="ListeParagraf"/>
        <w:numPr>
          <w:ilvl w:val="0"/>
          <w:numId w:val="7"/>
        </w:numPr>
        <w:tabs>
          <w:tab w:val="left" w:pos="928"/>
        </w:tabs>
        <w:ind w:left="682" w:right="3811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,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60585ABC" w14:textId="77777777" w:rsidR="009D1126" w:rsidRDefault="009D1126">
      <w:pPr>
        <w:pStyle w:val="GvdeMetni"/>
        <w:spacing w:before="6"/>
        <w:ind w:left="0" w:firstLine="0"/>
        <w:rPr>
          <w:sz w:val="16"/>
        </w:rPr>
      </w:pPr>
    </w:p>
    <w:p w14:paraId="389DB810" w14:textId="77777777" w:rsidR="009D1126" w:rsidRDefault="00744D18">
      <w:pPr>
        <w:pStyle w:val="Balk1"/>
        <w:spacing w:before="90"/>
        <w:ind w:left="2741" w:right="2177"/>
        <w:jc w:val="center"/>
      </w:pPr>
      <w:r>
        <w:rPr>
          <w:color w:val="1C283C"/>
        </w:rPr>
        <w:t>İKİNCİ BÖLÜM</w:t>
      </w:r>
    </w:p>
    <w:p w14:paraId="15AB0885" w14:textId="77777777" w:rsidR="009D1126" w:rsidRDefault="00744D18">
      <w:pPr>
        <w:spacing w:before="1"/>
        <w:ind w:left="2741" w:right="2180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Amaçları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5D728D76" w14:textId="77777777" w:rsidR="009D1126" w:rsidRDefault="00744D18">
      <w:pPr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amaçl</w:t>
      </w:r>
      <w:r>
        <w:rPr>
          <w:b/>
          <w:color w:val="1C283C"/>
          <w:sz w:val="24"/>
        </w:rPr>
        <w:t>arı</w:t>
      </w:r>
      <w:proofErr w:type="spellEnd"/>
    </w:p>
    <w:p w14:paraId="0EA9DC16" w14:textId="77777777" w:rsidR="009D1126" w:rsidRDefault="00744D18">
      <w:pPr>
        <w:spacing w:line="271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5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256CE0E8" w14:textId="77777777" w:rsidR="009D1126" w:rsidRDefault="00744D18">
      <w:pPr>
        <w:pStyle w:val="ListeParagraf"/>
        <w:numPr>
          <w:ilvl w:val="0"/>
          <w:numId w:val="6"/>
        </w:numPr>
        <w:tabs>
          <w:tab w:val="left" w:pos="959"/>
        </w:tabs>
        <w:ind w:right="123" w:firstLine="566"/>
        <w:rPr>
          <w:sz w:val="24"/>
        </w:rPr>
      </w:pPr>
      <w:proofErr w:type="spellStart"/>
      <w:r>
        <w:rPr>
          <w:color w:val="1C283C"/>
          <w:sz w:val="24"/>
        </w:rPr>
        <w:t>Türkçeyi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yöntemleri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tekniklerini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.</w:t>
      </w:r>
    </w:p>
    <w:p w14:paraId="5CFCDE80" w14:textId="77777777" w:rsidR="009D1126" w:rsidRDefault="00744D18">
      <w:pPr>
        <w:pStyle w:val="ListeParagraf"/>
        <w:numPr>
          <w:ilvl w:val="0"/>
          <w:numId w:val="6"/>
        </w:numPr>
        <w:tabs>
          <w:tab w:val="left" w:pos="954"/>
        </w:tabs>
        <w:ind w:right="124" w:firstLine="566"/>
        <w:rPr>
          <w:sz w:val="24"/>
        </w:rPr>
      </w:pPr>
      <w:proofErr w:type="spellStart"/>
      <w:r>
        <w:rPr>
          <w:color w:val="1C283C"/>
          <w:sz w:val="24"/>
        </w:rPr>
        <w:t>Türk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topluluklarının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farklı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coğrafyalarda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oluşturdukları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tarih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edebiyat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eserleri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kültür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eserlerini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incelemek</w:t>
      </w:r>
      <w:proofErr w:type="spellEnd"/>
      <w:r>
        <w:rPr>
          <w:color w:val="1C283C"/>
          <w:sz w:val="24"/>
        </w:rPr>
        <w:t>.</w:t>
      </w:r>
    </w:p>
    <w:p w14:paraId="6BF0B382" w14:textId="77777777" w:rsidR="009D1126" w:rsidRDefault="00744D18">
      <w:pPr>
        <w:pStyle w:val="ListeParagraf"/>
        <w:numPr>
          <w:ilvl w:val="0"/>
          <w:numId w:val="6"/>
        </w:numPr>
        <w:tabs>
          <w:tab w:val="left" w:pos="959"/>
        </w:tabs>
        <w:ind w:right="125" w:firstLine="566"/>
        <w:rPr>
          <w:sz w:val="24"/>
        </w:rPr>
      </w:pPr>
      <w:proofErr w:type="spellStart"/>
      <w:r>
        <w:rPr>
          <w:color w:val="1C283C"/>
          <w:sz w:val="24"/>
        </w:rPr>
        <w:t>Türk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kültürünün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çevre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kültürlerle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edebiyat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kültürel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sanatsal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etkinlikle</w:t>
      </w:r>
      <w:r>
        <w:rPr>
          <w:color w:val="1C283C"/>
          <w:sz w:val="24"/>
        </w:rPr>
        <w:t>rde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0C23685B" w14:textId="77777777" w:rsidR="009D1126" w:rsidRDefault="00744D18">
      <w:pPr>
        <w:pStyle w:val="Balk1"/>
        <w:spacing w:before="5" w:line="274" w:lineRule="exact"/>
      </w:pP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</w:p>
    <w:p w14:paraId="456734B7" w14:textId="77777777" w:rsidR="009D1126" w:rsidRDefault="00744D18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235E192A" w14:textId="77777777" w:rsidR="009D1126" w:rsidRDefault="00744D18">
      <w:pPr>
        <w:pStyle w:val="ListeParagraf"/>
        <w:numPr>
          <w:ilvl w:val="0"/>
          <w:numId w:val="5"/>
        </w:numPr>
        <w:tabs>
          <w:tab w:val="left" w:pos="938"/>
        </w:tabs>
        <w:ind w:right="125" w:firstLine="566"/>
        <w:jc w:val="both"/>
        <w:rPr>
          <w:sz w:val="24"/>
        </w:rPr>
      </w:pPr>
      <w:r>
        <w:rPr>
          <w:color w:val="1C283C"/>
          <w:sz w:val="24"/>
        </w:rPr>
        <w:t xml:space="preserve">Yurt </w:t>
      </w:r>
      <w:proofErr w:type="spellStart"/>
      <w:r>
        <w:rPr>
          <w:color w:val="1C283C"/>
          <w:sz w:val="24"/>
        </w:rPr>
        <w:t>içinde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dışında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Türkçe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Türkiye’yi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kültürünü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tanıtmak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>,</w:t>
      </w:r>
    </w:p>
    <w:p w14:paraId="6BF81B13" w14:textId="77777777" w:rsidR="009D1126" w:rsidRDefault="00744D18">
      <w:pPr>
        <w:pStyle w:val="ListeParagraf"/>
        <w:numPr>
          <w:ilvl w:val="0"/>
          <w:numId w:val="5"/>
        </w:numPr>
        <w:tabs>
          <w:tab w:val="left" w:pos="976"/>
        </w:tabs>
        <w:ind w:right="118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Türkç</w:t>
      </w:r>
      <w:r>
        <w:rPr>
          <w:color w:val="1C283C"/>
          <w:sz w:val="24"/>
        </w:rPr>
        <w:t>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yabancı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eğitim-öğretim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faaliyetlerinde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,</w:t>
      </w:r>
    </w:p>
    <w:p w14:paraId="2833984C" w14:textId="77777777" w:rsidR="009D1126" w:rsidRDefault="00744D18">
      <w:pPr>
        <w:pStyle w:val="ListeParagraf"/>
        <w:numPr>
          <w:ilvl w:val="0"/>
          <w:numId w:val="5"/>
        </w:numPr>
        <w:tabs>
          <w:tab w:val="left" w:pos="930"/>
        </w:tabs>
        <w:spacing w:before="1"/>
        <w:ind w:right="11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teşvik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seminer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toplantılar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,</w:t>
      </w:r>
    </w:p>
    <w:p w14:paraId="5E6660C4" w14:textId="77777777" w:rsidR="009D1126" w:rsidRDefault="009D1126">
      <w:pPr>
        <w:jc w:val="both"/>
        <w:rPr>
          <w:sz w:val="24"/>
        </w:rPr>
        <w:sectPr w:rsidR="009D1126" w:rsidSect="00F024E2">
          <w:type w:val="continuous"/>
          <w:pgSz w:w="11910" w:h="16840"/>
          <w:pgMar w:top="1320" w:right="853" w:bottom="280" w:left="1300" w:header="708" w:footer="708" w:gutter="0"/>
          <w:cols w:space="708"/>
        </w:sectPr>
      </w:pPr>
    </w:p>
    <w:p w14:paraId="189B3225" w14:textId="77777777" w:rsidR="009D1126" w:rsidRDefault="00744D18">
      <w:pPr>
        <w:pStyle w:val="GvdeMetni"/>
        <w:spacing w:before="70"/>
        <w:ind w:right="121"/>
        <w:jc w:val="both"/>
      </w:pPr>
      <w:r>
        <w:rPr>
          <w:color w:val="1C283C"/>
        </w:rPr>
        <w:lastRenderedPageBreak/>
        <w:t xml:space="preserve">ç) </w:t>
      </w:r>
      <w:proofErr w:type="spellStart"/>
      <w:r>
        <w:rPr>
          <w:color w:val="1C283C"/>
        </w:rPr>
        <w:t>Türkçeyi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yabancılara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şekilde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öğretmek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Türkiye’yi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Türk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kültürünü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tanıtmak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amacıyla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içi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dışı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gezileri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</w:t>
      </w:r>
      <w:proofErr w:type="spellEnd"/>
      <w:r>
        <w:rPr>
          <w:color w:val="1C283C"/>
        </w:rPr>
        <w:t>,</w:t>
      </w:r>
    </w:p>
    <w:p w14:paraId="14DF8159" w14:textId="77777777" w:rsidR="009D1126" w:rsidRDefault="00744D18">
      <w:pPr>
        <w:pStyle w:val="ListeParagraf"/>
        <w:numPr>
          <w:ilvl w:val="0"/>
          <w:numId w:val="5"/>
        </w:numPr>
        <w:tabs>
          <w:tab w:val="left" w:pos="1077"/>
        </w:tabs>
        <w:ind w:right="122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Türkçenin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yabancılara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hazırlayıp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yöntemler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içindeki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dışındaki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çeşitli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,</w:t>
      </w:r>
    </w:p>
    <w:p w14:paraId="5D71E6E2" w14:textId="77777777" w:rsidR="009D1126" w:rsidRDefault="00744D18">
      <w:pPr>
        <w:pStyle w:val="ListeParagraf"/>
        <w:numPr>
          <w:ilvl w:val="0"/>
          <w:numId w:val="5"/>
        </w:numPr>
        <w:tabs>
          <w:tab w:val="left" w:pos="950"/>
        </w:tabs>
        <w:ind w:right="121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Türkçeyi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Türkiye’yi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tanıtan</w:t>
      </w:r>
      <w:proofErr w:type="spellEnd"/>
      <w:r>
        <w:rPr>
          <w:color w:val="1C283C"/>
          <w:sz w:val="24"/>
        </w:rPr>
        <w:t xml:space="preserve"> film, </w:t>
      </w:r>
      <w:proofErr w:type="spellStart"/>
      <w:r>
        <w:rPr>
          <w:color w:val="1C283C"/>
          <w:sz w:val="24"/>
        </w:rPr>
        <w:t>sesli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görüntülü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kasetler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kitap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dergi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bülten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broşür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yayımlamak</w:t>
      </w:r>
      <w:proofErr w:type="spellEnd"/>
      <w:r>
        <w:rPr>
          <w:color w:val="1C283C"/>
          <w:sz w:val="24"/>
        </w:rPr>
        <w:t>,</w:t>
      </w:r>
    </w:p>
    <w:p w14:paraId="75B344BD" w14:textId="77777777" w:rsidR="009D1126" w:rsidRDefault="00744D18">
      <w:pPr>
        <w:pStyle w:val="ListeParagraf"/>
        <w:numPr>
          <w:ilvl w:val="0"/>
          <w:numId w:val="5"/>
        </w:numPr>
        <w:tabs>
          <w:tab w:val="left" w:pos="998"/>
        </w:tabs>
        <w:ind w:right="116" w:firstLine="566"/>
        <w:jc w:val="both"/>
        <w:rPr>
          <w:sz w:val="24"/>
        </w:rPr>
      </w:pPr>
      <w:r>
        <w:rPr>
          <w:color w:val="1C283C"/>
          <w:sz w:val="24"/>
        </w:rPr>
        <w:t xml:space="preserve">Yurt </w:t>
      </w:r>
      <w:proofErr w:type="spellStart"/>
      <w:r>
        <w:rPr>
          <w:color w:val="1C283C"/>
          <w:sz w:val="24"/>
        </w:rPr>
        <w:t>dışındaki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Türkoloji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Türkiye’deki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</w:t>
      </w:r>
      <w:proofErr w:type="spellEnd"/>
      <w:r>
        <w:rPr>
          <w:color w:val="1C283C"/>
          <w:sz w:val="24"/>
        </w:rPr>
        <w:t xml:space="preserve"> Dili, </w:t>
      </w:r>
      <w:proofErr w:type="spellStart"/>
      <w:r>
        <w:rPr>
          <w:color w:val="1C283C"/>
          <w:sz w:val="24"/>
        </w:rPr>
        <w:t>Dilbilim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bölümlerinin</w:t>
      </w:r>
      <w:proofErr w:type="spellEnd"/>
      <w:r>
        <w:rPr>
          <w:color w:val="1C283C"/>
          <w:sz w:val="24"/>
        </w:rPr>
        <w:t xml:space="preserve"> son </w:t>
      </w:r>
      <w:proofErr w:type="spellStart"/>
      <w:r>
        <w:rPr>
          <w:color w:val="1C283C"/>
          <w:sz w:val="24"/>
        </w:rPr>
        <w:t>sınıf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mezunlarına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mesleki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tecrübeye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staj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yaptırmak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gerektiğinde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sertifikalar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,</w:t>
      </w:r>
    </w:p>
    <w:p w14:paraId="7961024A" w14:textId="77777777" w:rsidR="009D1126" w:rsidRDefault="00744D18">
      <w:pPr>
        <w:pStyle w:val="ListeParagraf"/>
        <w:numPr>
          <w:ilvl w:val="0"/>
          <w:numId w:val="5"/>
        </w:numPr>
        <w:tabs>
          <w:tab w:val="left" w:pos="949"/>
        </w:tabs>
        <w:ind w:right="121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Türkçenin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yabancılara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daha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hâle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Türkçe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dillerin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karşılaştırmalı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</w:t>
      </w:r>
      <w:r>
        <w:rPr>
          <w:color w:val="1C283C"/>
          <w:sz w:val="24"/>
        </w:rPr>
        <w:t>lışmalar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,</w:t>
      </w:r>
    </w:p>
    <w:p w14:paraId="19A1C600" w14:textId="77777777" w:rsidR="009D1126" w:rsidRDefault="00744D18">
      <w:pPr>
        <w:pStyle w:val="GvdeMetni"/>
        <w:spacing w:before="1"/>
        <w:ind w:left="682" w:firstLine="0"/>
        <w:jc w:val="both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desteklemek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dillerden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çeviriler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>,</w:t>
      </w:r>
    </w:p>
    <w:p w14:paraId="6E359DE0" w14:textId="77777777" w:rsidR="009D1126" w:rsidRDefault="00744D18">
      <w:pPr>
        <w:pStyle w:val="ListeParagraf"/>
        <w:numPr>
          <w:ilvl w:val="0"/>
          <w:numId w:val="5"/>
        </w:numPr>
        <w:tabs>
          <w:tab w:val="left" w:pos="943"/>
        </w:tabs>
        <w:ind w:left="942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Dil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sınavları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19F69D34" w14:textId="77777777" w:rsidR="009D1126" w:rsidRDefault="009D1126">
      <w:pPr>
        <w:pStyle w:val="GvdeMetni"/>
        <w:spacing w:before="6"/>
        <w:ind w:left="0" w:firstLine="0"/>
        <w:rPr>
          <w:sz w:val="16"/>
        </w:rPr>
      </w:pPr>
    </w:p>
    <w:p w14:paraId="24F98D10" w14:textId="77777777" w:rsidR="009D1126" w:rsidRDefault="00744D18">
      <w:pPr>
        <w:pStyle w:val="Balk1"/>
        <w:spacing w:before="90"/>
        <w:ind w:left="2741" w:right="2177"/>
        <w:jc w:val="center"/>
      </w:pPr>
      <w:r>
        <w:rPr>
          <w:color w:val="1C283C"/>
        </w:rPr>
        <w:t>ÜÇÜNCÜ BÖLÜM</w:t>
      </w:r>
    </w:p>
    <w:p w14:paraId="14A568FF" w14:textId="77777777" w:rsidR="009D1126" w:rsidRDefault="00744D18">
      <w:pPr>
        <w:ind w:left="2741" w:right="2182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</w:p>
    <w:p w14:paraId="28B9AB5F" w14:textId="77777777" w:rsidR="009D1126" w:rsidRDefault="00744D18">
      <w:pPr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75F01FD8" w14:textId="77777777" w:rsidR="009D1126" w:rsidRDefault="00744D18">
      <w:pPr>
        <w:pStyle w:val="GvdeMetni"/>
        <w:spacing w:line="272" w:lineRule="exact"/>
        <w:ind w:left="682" w:firstLine="0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aşağıdaki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>:</w:t>
      </w:r>
    </w:p>
    <w:p w14:paraId="1802947D" w14:textId="77777777" w:rsidR="009D1126" w:rsidRDefault="00744D18">
      <w:pPr>
        <w:pStyle w:val="ListeParagraf"/>
        <w:numPr>
          <w:ilvl w:val="0"/>
          <w:numId w:val="4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>,</w:t>
      </w:r>
    </w:p>
    <w:p w14:paraId="36072BFE" w14:textId="77777777" w:rsidR="009D1126" w:rsidRDefault="00744D18">
      <w:pPr>
        <w:pStyle w:val="ListeParagraf"/>
        <w:numPr>
          <w:ilvl w:val="0"/>
          <w:numId w:val="4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>,</w:t>
      </w:r>
    </w:p>
    <w:p w14:paraId="4C2F8C09" w14:textId="77777777" w:rsidR="009D1126" w:rsidRDefault="00744D18">
      <w:pPr>
        <w:pStyle w:val="ListeParagraf"/>
        <w:numPr>
          <w:ilvl w:val="0"/>
          <w:numId w:val="4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571C0A2A" w14:textId="77777777" w:rsidR="009D1126" w:rsidRDefault="00744D18">
      <w:pPr>
        <w:pStyle w:val="Balk1"/>
        <w:spacing w:before="5" w:line="274" w:lineRule="exact"/>
        <w:jc w:val="both"/>
      </w:pP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9BEBF61" w14:textId="77777777" w:rsidR="009D1126" w:rsidRDefault="00744D18">
      <w:pPr>
        <w:pStyle w:val="GvdeMetni"/>
        <w:ind w:right="120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belirtilen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anabilim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dallarında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</w:t>
      </w:r>
      <w:r>
        <w:rPr>
          <w:color w:val="1C283C"/>
        </w:rPr>
        <w:t>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süreyle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>.</w:t>
      </w:r>
    </w:p>
    <w:p w14:paraId="55C0C913" w14:textId="77777777" w:rsidR="009D1126" w:rsidRDefault="00744D18">
      <w:pPr>
        <w:pStyle w:val="ListeParagraf"/>
        <w:numPr>
          <w:ilvl w:val="0"/>
          <w:numId w:val="3"/>
        </w:numPr>
        <w:tabs>
          <w:tab w:val="left" w:pos="1022"/>
        </w:tabs>
        <w:ind w:hanging="340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5FEEB9C3" w14:textId="77777777" w:rsidR="009D1126" w:rsidRDefault="00744D18">
      <w:pPr>
        <w:pStyle w:val="ListeParagraf"/>
        <w:numPr>
          <w:ilvl w:val="0"/>
          <w:numId w:val="2"/>
        </w:numPr>
        <w:tabs>
          <w:tab w:val="left" w:pos="929"/>
        </w:tabs>
        <w:ind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,</w:t>
      </w:r>
    </w:p>
    <w:p w14:paraId="64596234" w14:textId="77777777" w:rsidR="009D1126" w:rsidRDefault="00744D18">
      <w:pPr>
        <w:pStyle w:val="ListeParagraf"/>
        <w:numPr>
          <w:ilvl w:val="0"/>
          <w:numId w:val="2"/>
        </w:numPr>
        <w:tabs>
          <w:tab w:val="left" w:pos="966"/>
        </w:tabs>
        <w:ind w:left="116" w:right="123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</w:t>
      </w:r>
      <w:r>
        <w:rPr>
          <w:color w:val="1C283C"/>
          <w:sz w:val="24"/>
        </w:rPr>
        <w:t>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çalışmayı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,</w:t>
      </w:r>
    </w:p>
    <w:p w14:paraId="5419421A" w14:textId="77777777" w:rsidR="009D1126" w:rsidRDefault="00744D18">
      <w:pPr>
        <w:pStyle w:val="ListeParagraf"/>
        <w:numPr>
          <w:ilvl w:val="0"/>
          <w:numId w:val="2"/>
        </w:numPr>
        <w:tabs>
          <w:tab w:val="left" w:pos="929"/>
        </w:tabs>
        <w:ind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ödenek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kadro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gerekçesi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bildirmek</w:t>
      </w:r>
      <w:proofErr w:type="spellEnd"/>
      <w:r>
        <w:rPr>
          <w:color w:val="1C283C"/>
          <w:sz w:val="24"/>
        </w:rPr>
        <w:t>,</w:t>
      </w:r>
    </w:p>
    <w:p w14:paraId="6809B7C9" w14:textId="77777777" w:rsidR="009D1126" w:rsidRDefault="00744D18">
      <w:pPr>
        <w:pStyle w:val="GvdeMetni"/>
        <w:ind w:right="122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düzeyde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gözetim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>.</w:t>
      </w:r>
    </w:p>
    <w:p w14:paraId="57DC79C7" w14:textId="77777777" w:rsidR="009D1126" w:rsidRDefault="00744D18">
      <w:pPr>
        <w:pStyle w:val="ListeParagraf"/>
        <w:numPr>
          <w:ilvl w:val="0"/>
          <w:numId w:val="3"/>
        </w:numPr>
        <w:tabs>
          <w:tab w:val="left" w:pos="1118"/>
        </w:tabs>
        <w:ind w:left="116" w:right="115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kapasitesinin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</w:t>
      </w:r>
      <w:r>
        <w:rPr>
          <w:color w:val="1C283C"/>
          <w:sz w:val="24"/>
        </w:rPr>
        <w:t>ekilde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kullanılmasından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geliştirilmesinden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eğitim-öğretim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yayın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şekilde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yürütülmesinden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bütün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gözetim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denetiminin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yapılmasından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sonuçlarının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alınmasından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birinci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dereced</w:t>
      </w:r>
      <w:r>
        <w:rPr>
          <w:color w:val="1C283C"/>
          <w:sz w:val="24"/>
        </w:rPr>
        <w:t>e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sorumludur</w:t>
      </w:r>
      <w:proofErr w:type="spellEnd"/>
      <w:r>
        <w:rPr>
          <w:color w:val="1C283C"/>
          <w:sz w:val="24"/>
        </w:rPr>
        <w:t>.</w:t>
      </w:r>
    </w:p>
    <w:p w14:paraId="4038A661" w14:textId="77777777" w:rsidR="009D1126" w:rsidRDefault="00744D18">
      <w:pPr>
        <w:pStyle w:val="Balk1"/>
        <w:spacing w:before="3" w:line="274" w:lineRule="exact"/>
        <w:jc w:val="both"/>
      </w:pP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</w:p>
    <w:p w14:paraId="58539DF8" w14:textId="77777777" w:rsidR="009D1126" w:rsidRDefault="00744D18">
      <w:pPr>
        <w:pStyle w:val="GvdeMetni"/>
        <w:ind w:right="114"/>
        <w:jc w:val="both"/>
      </w:pPr>
      <w:r>
        <w:rPr>
          <w:b/>
          <w:color w:val="1C283C"/>
        </w:rPr>
        <w:t xml:space="preserve">MADDE 9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  <w:spacing w:val="2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>.</w:t>
      </w:r>
    </w:p>
    <w:p w14:paraId="1AE01EEB" w14:textId="77777777" w:rsidR="009D1126" w:rsidRDefault="00744D18">
      <w:pPr>
        <w:pStyle w:val="Balk1"/>
        <w:spacing w:before="3" w:line="274" w:lineRule="exact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230EDF76" w14:textId="77777777" w:rsidR="009D1126" w:rsidRDefault="00744D18">
      <w:pPr>
        <w:pStyle w:val="GvdeMetni"/>
        <w:ind w:right="116"/>
        <w:jc w:val="both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</w:t>
      </w:r>
      <w:r>
        <w:rPr>
          <w:color w:val="1C283C"/>
        </w:rPr>
        <w:t>niversiteden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yıllığına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yıllığına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Herhangi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nedenle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yöntemle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>.</w:t>
      </w:r>
    </w:p>
    <w:p w14:paraId="0C9F6D4A" w14:textId="77777777" w:rsidR="009D1126" w:rsidRDefault="00744D18">
      <w:pPr>
        <w:pStyle w:val="GvdeMetni"/>
        <w:ind w:left="682" w:firstLine="0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5B3064EE" w14:textId="77777777" w:rsidR="009D1126" w:rsidRDefault="009D1126">
      <w:pPr>
        <w:jc w:val="both"/>
        <w:sectPr w:rsidR="009D1126" w:rsidSect="00F024E2">
          <w:pgSz w:w="11910" w:h="16840"/>
          <w:pgMar w:top="1320" w:right="853" w:bottom="280" w:left="1300" w:header="708" w:footer="708" w:gutter="0"/>
          <w:cols w:space="708"/>
        </w:sectPr>
      </w:pPr>
    </w:p>
    <w:p w14:paraId="6A9CEF60" w14:textId="77777777" w:rsidR="009D1126" w:rsidRDefault="00744D18">
      <w:pPr>
        <w:pStyle w:val="ListeParagraf"/>
        <w:numPr>
          <w:ilvl w:val="0"/>
          <w:numId w:val="1"/>
        </w:numPr>
        <w:tabs>
          <w:tab w:val="left" w:pos="966"/>
        </w:tabs>
        <w:spacing w:before="70"/>
        <w:ind w:right="123" w:firstLine="566"/>
        <w:rPr>
          <w:sz w:val="24"/>
        </w:rPr>
      </w:pPr>
      <w:proofErr w:type="spellStart"/>
      <w:r>
        <w:rPr>
          <w:color w:val="1C283C"/>
          <w:sz w:val="24"/>
        </w:rPr>
        <w:lastRenderedPageBreak/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eğitim-öğretim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esasları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,</w:t>
      </w:r>
    </w:p>
    <w:p w14:paraId="21982BD0" w14:textId="77777777" w:rsidR="009D1126" w:rsidRDefault="00744D18">
      <w:pPr>
        <w:pStyle w:val="ListeParagraf"/>
        <w:numPr>
          <w:ilvl w:val="0"/>
          <w:numId w:val="1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Me</w:t>
      </w:r>
      <w:r>
        <w:rPr>
          <w:color w:val="1C283C"/>
          <w:sz w:val="24"/>
        </w:rPr>
        <w:t>rkezle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düzenleyici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>,</w:t>
      </w:r>
    </w:p>
    <w:p w14:paraId="65D5A0A7" w14:textId="77777777" w:rsidR="009D1126" w:rsidRDefault="00744D18">
      <w:pPr>
        <w:pStyle w:val="ListeParagraf"/>
        <w:numPr>
          <w:ilvl w:val="0"/>
          <w:numId w:val="1"/>
        </w:numPr>
        <w:tabs>
          <w:tab w:val="left" w:pos="929"/>
        </w:tabs>
        <w:ind w:left="928" w:hanging="247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eğitim-öğretim</w:t>
      </w:r>
      <w:proofErr w:type="spellEnd"/>
      <w:r>
        <w:rPr>
          <w:color w:val="1C283C"/>
          <w:sz w:val="24"/>
        </w:rPr>
        <w:t xml:space="preserve"> program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takvimini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inceleyerek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karara</w:t>
      </w:r>
      <w:proofErr w:type="spellEnd"/>
      <w:r>
        <w:rPr>
          <w:color w:val="1C283C"/>
          <w:spacing w:val="-10"/>
          <w:sz w:val="24"/>
        </w:rPr>
        <w:t xml:space="preserve"> </w:t>
      </w:r>
      <w:proofErr w:type="spellStart"/>
      <w:r>
        <w:rPr>
          <w:color w:val="1C283C"/>
          <w:sz w:val="24"/>
        </w:rPr>
        <w:t>bağlamak</w:t>
      </w:r>
      <w:proofErr w:type="spellEnd"/>
      <w:r>
        <w:rPr>
          <w:color w:val="1C283C"/>
          <w:sz w:val="24"/>
        </w:rPr>
        <w:t>,</w:t>
      </w:r>
    </w:p>
    <w:p w14:paraId="4F811B8E" w14:textId="77777777" w:rsidR="009D1126" w:rsidRDefault="00744D18">
      <w:pPr>
        <w:pStyle w:val="GvdeMetni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okutmanların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yetiştirilmesi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planlar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</w:t>
      </w:r>
      <w:r>
        <w:rPr>
          <w:color w:val="1C283C"/>
        </w:rPr>
        <w:t>k</w:t>
      </w:r>
      <w:proofErr w:type="spellEnd"/>
      <w:r>
        <w:rPr>
          <w:color w:val="1C283C"/>
        </w:rPr>
        <w:t>,</w:t>
      </w:r>
    </w:p>
    <w:p w14:paraId="270AFE37" w14:textId="77777777" w:rsidR="009D1126" w:rsidRDefault="00744D18">
      <w:pPr>
        <w:pStyle w:val="ListeParagraf"/>
        <w:numPr>
          <w:ilvl w:val="0"/>
          <w:numId w:val="1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oluşturulması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esasları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,</w:t>
      </w:r>
    </w:p>
    <w:p w14:paraId="6BC73F79" w14:textId="77777777" w:rsidR="009D1126" w:rsidRDefault="00744D18">
      <w:pPr>
        <w:pStyle w:val="ListeParagraf"/>
        <w:numPr>
          <w:ilvl w:val="0"/>
          <w:numId w:val="1"/>
        </w:numPr>
        <w:tabs>
          <w:tab w:val="left" w:pos="1048"/>
        </w:tabs>
        <w:ind w:right="123" w:firstLine="566"/>
        <w:rPr>
          <w:sz w:val="24"/>
        </w:rPr>
      </w:pP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geçici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koordinatörlükleri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>,</w:t>
      </w:r>
    </w:p>
    <w:p w14:paraId="55DAE756" w14:textId="77777777" w:rsidR="009D1126" w:rsidRDefault="00744D18">
      <w:pPr>
        <w:pStyle w:val="ListeParagraf"/>
        <w:numPr>
          <w:ilvl w:val="0"/>
          <w:numId w:val="1"/>
        </w:numPr>
        <w:tabs>
          <w:tab w:val="left" w:pos="902"/>
        </w:tabs>
        <w:ind w:left="901" w:hanging="220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ücretleri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,</w:t>
      </w:r>
    </w:p>
    <w:p w14:paraId="49E9BB1D" w14:textId="77777777" w:rsidR="009D1126" w:rsidRDefault="00744D18">
      <w:pPr>
        <w:pStyle w:val="ListeParagraf"/>
        <w:numPr>
          <w:ilvl w:val="0"/>
          <w:numId w:val="1"/>
        </w:numPr>
        <w:tabs>
          <w:tab w:val="left" w:pos="1012"/>
        </w:tabs>
        <w:ind w:right="116" w:firstLine="566"/>
        <w:rPr>
          <w:sz w:val="24"/>
        </w:rPr>
      </w:pPr>
      <w:r>
        <w:rPr>
          <w:color w:val="1C283C"/>
          <w:sz w:val="24"/>
        </w:rPr>
        <w:t xml:space="preserve">Yeni </w:t>
      </w:r>
      <w:proofErr w:type="spellStart"/>
      <w:r>
        <w:rPr>
          <w:color w:val="1C283C"/>
          <w:sz w:val="24"/>
        </w:rPr>
        <w:t>birimler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mevcut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kapatılması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görülenler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önerilerde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26BC1E74" w14:textId="77777777" w:rsidR="009D1126" w:rsidRDefault="009D1126">
      <w:pPr>
        <w:pStyle w:val="GvdeMetni"/>
        <w:spacing w:before="7"/>
        <w:ind w:left="0" w:firstLine="0"/>
        <w:rPr>
          <w:sz w:val="16"/>
        </w:rPr>
      </w:pPr>
    </w:p>
    <w:p w14:paraId="19E91698" w14:textId="77777777" w:rsidR="009D1126" w:rsidRDefault="00744D18">
      <w:pPr>
        <w:pStyle w:val="Balk1"/>
        <w:spacing w:before="90"/>
        <w:ind w:left="2741" w:right="2177"/>
        <w:jc w:val="center"/>
      </w:pPr>
      <w:r>
        <w:rPr>
          <w:color w:val="1C283C"/>
        </w:rPr>
        <w:t>DÖRDÜNCÜ BÖLÜM</w:t>
      </w:r>
    </w:p>
    <w:p w14:paraId="1E147F84" w14:textId="77777777" w:rsidR="009D1126" w:rsidRDefault="00744D18">
      <w:pPr>
        <w:ind w:left="2741" w:right="217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136CAA92" w14:textId="77777777" w:rsidR="009D1126" w:rsidRDefault="00744D18">
      <w:pPr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Birimler</w:t>
      </w:r>
      <w:proofErr w:type="spellEnd"/>
    </w:p>
    <w:p w14:paraId="4AD85EAF" w14:textId="77777777" w:rsidR="009D1126" w:rsidRDefault="00744D18">
      <w:pPr>
        <w:pStyle w:val="GvdeMetni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sayıs</w:t>
      </w:r>
      <w:r>
        <w:rPr>
          <w:color w:val="1C283C"/>
        </w:rPr>
        <w:t>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oluşturulabilir</w:t>
      </w:r>
      <w:proofErr w:type="spellEnd"/>
      <w:r>
        <w:rPr>
          <w:color w:val="1C283C"/>
        </w:rPr>
        <w:t>.</w:t>
      </w:r>
    </w:p>
    <w:p w14:paraId="69B52987" w14:textId="77777777" w:rsidR="009D1126" w:rsidRDefault="00744D18">
      <w:pPr>
        <w:pStyle w:val="Balk1"/>
        <w:spacing w:line="274" w:lineRule="exact"/>
      </w:pP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</w:p>
    <w:p w14:paraId="66070498" w14:textId="77777777" w:rsidR="009D1126" w:rsidRDefault="00744D18">
      <w:pPr>
        <w:pStyle w:val="GvdeMetni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personelce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36483248" w14:textId="77777777" w:rsidR="009D1126" w:rsidRDefault="00744D18">
      <w:pPr>
        <w:pStyle w:val="Balk1"/>
        <w:spacing w:before="3" w:line="274" w:lineRule="exact"/>
      </w:pP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0ABDBFB0" w14:textId="77777777" w:rsidR="009D1126" w:rsidRDefault="00744D18">
      <w:pPr>
        <w:pStyle w:val="GvdeMetni"/>
      </w:pPr>
      <w:r>
        <w:rPr>
          <w:b/>
          <w:color w:val="1C283C"/>
        </w:rPr>
        <w:t>MADDE 13</w:t>
      </w:r>
      <w:r>
        <w:rPr>
          <w:b/>
          <w:color w:val="1C283C"/>
        </w:rPr>
        <w:t xml:space="preserve">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hâllerde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2C6F7A03" w14:textId="77777777" w:rsidR="009D1126" w:rsidRDefault="00744D18">
      <w:pPr>
        <w:pStyle w:val="Balk1"/>
        <w:spacing w:before="3" w:line="274" w:lineRule="exact"/>
      </w:pPr>
      <w:proofErr w:type="spellStart"/>
      <w:r>
        <w:rPr>
          <w:color w:val="1C283C"/>
        </w:rPr>
        <w:t>Yürürlük</w:t>
      </w:r>
      <w:proofErr w:type="spellEnd"/>
    </w:p>
    <w:p w14:paraId="4BA88BF9" w14:textId="77777777" w:rsidR="009D1126" w:rsidRDefault="00744D18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1C0EA2DB" w14:textId="77777777" w:rsidR="009D1126" w:rsidRDefault="00744D18">
      <w:pPr>
        <w:pStyle w:val="Balk1"/>
        <w:spacing w:before="5" w:line="274" w:lineRule="exact"/>
      </w:pPr>
      <w:proofErr w:type="spellStart"/>
      <w:r>
        <w:rPr>
          <w:color w:val="1C283C"/>
        </w:rPr>
        <w:t>Yürütme</w:t>
      </w:r>
      <w:proofErr w:type="spellEnd"/>
    </w:p>
    <w:p w14:paraId="788A6566" w14:textId="6B7F05AF" w:rsidR="009D1126" w:rsidRDefault="00744D18">
      <w:pPr>
        <w:pStyle w:val="GvdeMetni"/>
        <w:rPr>
          <w:color w:val="1C283C"/>
        </w:rPr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 w:rsidR="00F024E2">
        <w:rPr>
          <w:color w:val="1C283C"/>
        </w:rPr>
        <w:t>Tekirdağ</w:t>
      </w:r>
      <w:proofErr w:type="spellEnd"/>
      <w:r w:rsidR="00F024E2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1F53405F" w14:textId="57D94C4F" w:rsidR="00F024E2" w:rsidRDefault="00F024E2">
      <w:pPr>
        <w:pStyle w:val="GvdeMetni"/>
      </w:pPr>
    </w:p>
    <w:p w14:paraId="3A9148BB" w14:textId="77777777" w:rsidR="00F024E2" w:rsidRDefault="00F024E2" w:rsidP="00F024E2">
      <w:pPr>
        <w:spacing w:before="71"/>
        <w:ind w:left="116"/>
        <w:rPr>
          <w:color w:val="1C283C"/>
          <w:sz w:val="20"/>
        </w:rPr>
      </w:pPr>
    </w:p>
    <w:p w14:paraId="7E1B1956" w14:textId="77777777" w:rsidR="00F024E2" w:rsidRDefault="00F024E2" w:rsidP="00F024E2">
      <w:pPr>
        <w:spacing w:before="71"/>
        <w:ind w:left="116"/>
        <w:rPr>
          <w:color w:val="1C283C"/>
          <w:sz w:val="20"/>
        </w:rPr>
      </w:pPr>
    </w:p>
    <w:p w14:paraId="3A845E31" w14:textId="3012BD74" w:rsidR="00F024E2" w:rsidRPr="00F024E2" w:rsidRDefault="00F024E2" w:rsidP="00F024E2">
      <w:pPr>
        <w:spacing w:before="71"/>
        <w:ind w:left="116"/>
        <w:rPr>
          <w:b/>
          <w:bCs/>
          <w:sz w:val="20"/>
        </w:rPr>
      </w:pPr>
      <w:r w:rsidRPr="00F024E2">
        <w:rPr>
          <w:b/>
          <w:bCs/>
          <w:color w:val="1C283C"/>
          <w:sz w:val="20"/>
        </w:rPr>
        <w:t xml:space="preserve">   </w:t>
      </w:r>
      <w:r>
        <w:rPr>
          <w:b/>
          <w:bCs/>
          <w:color w:val="1C283C"/>
          <w:sz w:val="20"/>
        </w:rPr>
        <w:t>*</w:t>
      </w:r>
      <w:proofErr w:type="spellStart"/>
      <w:r w:rsidRPr="00F024E2">
        <w:rPr>
          <w:b/>
          <w:bCs/>
          <w:color w:val="1C283C"/>
          <w:sz w:val="20"/>
        </w:rPr>
        <w:t>Resmi</w:t>
      </w:r>
      <w:proofErr w:type="spellEnd"/>
      <w:r w:rsidRPr="00F024E2">
        <w:rPr>
          <w:b/>
          <w:bCs/>
          <w:color w:val="1C283C"/>
          <w:sz w:val="20"/>
        </w:rPr>
        <w:t xml:space="preserve"> </w:t>
      </w:r>
      <w:proofErr w:type="spellStart"/>
      <w:r w:rsidRPr="00F024E2">
        <w:rPr>
          <w:b/>
          <w:bCs/>
          <w:color w:val="1C283C"/>
          <w:sz w:val="20"/>
        </w:rPr>
        <w:t>Gazete</w:t>
      </w:r>
      <w:proofErr w:type="spellEnd"/>
      <w:r w:rsidRPr="00F024E2">
        <w:rPr>
          <w:b/>
          <w:bCs/>
          <w:color w:val="1C283C"/>
          <w:sz w:val="20"/>
        </w:rPr>
        <w:t xml:space="preserve"> </w:t>
      </w:r>
      <w:proofErr w:type="spellStart"/>
      <w:r w:rsidRPr="00F024E2">
        <w:rPr>
          <w:b/>
          <w:bCs/>
          <w:color w:val="1C283C"/>
          <w:sz w:val="20"/>
        </w:rPr>
        <w:t>Tarihi</w:t>
      </w:r>
      <w:proofErr w:type="spellEnd"/>
      <w:r w:rsidRPr="00F024E2">
        <w:rPr>
          <w:b/>
          <w:bCs/>
          <w:color w:val="1C283C"/>
          <w:sz w:val="20"/>
        </w:rPr>
        <w:t xml:space="preserve">: 12.08.2013 </w:t>
      </w:r>
      <w:proofErr w:type="spellStart"/>
      <w:r w:rsidRPr="00F024E2">
        <w:rPr>
          <w:b/>
          <w:bCs/>
          <w:color w:val="1C283C"/>
          <w:sz w:val="20"/>
        </w:rPr>
        <w:t>Resmi</w:t>
      </w:r>
      <w:proofErr w:type="spellEnd"/>
      <w:r w:rsidRPr="00F024E2">
        <w:rPr>
          <w:b/>
          <w:bCs/>
          <w:color w:val="1C283C"/>
          <w:sz w:val="20"/>
        </w:rPr>
        <w:t xml:space="preserve"> </w:t>
      </w:r>
      <w:proofErr w:type="spellStart"/>
      <w:r w:rsidRPr="00F024E2">
        <w:rPr>
          <w:b/>
          <w:bCs/>
          <w:color w:val="1C283C"/>
          <w:sz w:val="20"/>
        </w:rPr>
        <w:t>Gazete</w:t>
      </w:r>
      <w:proofErr w:type="spellEnd"/>
      <w:r w:rsidRPr="00F024E2">
        <w:rPr>
          <w:b/>
          <w:bCs/>
          <w:color w:val="1C283C"/>
          <w:sz w:val="20"/>
        </w:rPr>
        <w:t xml:space="preserve"> </w:t>
      </w:r>
      <w:proofErr w:type="spellStart"/>
      <w:r w:rsidRPr="00F024E2">
        <w:rPr>
          <w:b/>
          <w:bCs/>
          <w:color w:val="1C283C"/>
          <w:sz w:val="20"/>
        </w:rPr>
        <w:t>Sayısı</w:t>
      </w:r>
      <w:proofErr w:type="spellEnd"/>
      <w:r w:rsidRPr="00F024E2">
        <w:rPr>
          <w:b/>
          <w:bCs/>
          <w:color w:val="1C283C"/>
          <w:sz w:val="20"/>
        </w:rPr>
        <w:t>: 28733</w:t>
      </w:r>
    </w:p>
    <w:p w14:paraId="46515DB2" w14:textId="77777777" w:rsidR="00F024E2" w:rsidRDefault="00F024E2">
      <w:pPr>
        <w:pStyle w:val="GvdeMetni"/>
      </w:pPr>
    </w:p>
    <w:sectPr w:rsidR="00F024E2" w:rsidSect="00F024E2">
      <w:pgSz w:w="11910" w:h="16840"/>
      <w:pgMar w:top="132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F6D"/>
    <w:multiLevelType w:val="hybridMultilevel"/>
    <w:tmpl w:val="8F3C9868"/>
    <w:lvl w:ilvl="0" w:tplc="357899EC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color w:val="1C283C"/>
        <w:spacing w:val="-23"/>
        <w:w w:val="100"/>
        <w:sz w:val="24"/>
        <w:szCs w:val="24"/>
        <w:lang w:val="en-US" w:eastAsia="en-US" w:bidi="en-US"/>
      </w:rPr>
    </w:lvl>
    <w:lvl w:ilvl="1" w:tplc="9914F992">
      <w:numFmt w:val="bullet"/>
      <w:lvlText w:val="•"/>
      <w:lvlJc w:val="left"/>
      <w:pPr>
        <w:ind w:left="1038" w:hanging="283"/>
      </w:pPr>
      <w:rPr>
        <w:rFonts w:hint="default"/>
        <w:lang w:val="en-US" w:eastAsia="en-US" w:bidi="en-US"/>
      </w:rPr>
    </w:lvl>
    <w:lvl w:ilvl="2" w:tplc="0324FCC0">
      <w:numFmt w:val="bullet"/>
      <w:lvlText w:val="•"/>
      <w:lvlJc w:val="left"/>
      <w:pPr>
        <w:ind w:left="1957" w:hanging="283"/>
      </w:pPr>
      <w:rPr>
        <w:rFonts w:hint="default"/>
        <w:lang w:val="en-US" w:eastAsia="en-US" w:bidi="en-US"/>
      </w:rPr>
    </w:lvl>
    <w:lvl w:ilvl="3" w:tplc="0A4AF312">
      <w:numFmt w:val="bullet"/>
      <w:lvlText w:val="•"/>
      <w:lvlJc w:val="left"/>
      <w:pPr>
        <w:ind w:left="2875" w:hanging="283"/>
      </w:pPr>
      <w:rPr>
        <w:rFonts w:hint="default"/>
        <w:lang w:val="en-US" w:eastAsia="en-US" w:bidi="en-US"/>
      </w:rPr>
    </w:lvl>
    <w:lvl w:ilvl="4" w:tplc="7A4C2450">
      <w:numFmt w:val="bullet"/>
      <w:lvlText w:val="•"/>
      <w:lvlJc w:val="left"/>
      <w:pPr>
        <w:ind w:left="3794" w:hanging="283"/>
      </w:pPr>
      <w:rPr>
        <w:rFonts w:hint="default"/>
        <w:lang w:val="en-US" w:eastAsia="en-US" w:bidi="en-US"/>
      </w:rPr>
    </w:lvl>
    <w:lvl w:ilvl="5" w:tplc="88AA7BD6">
      <w:numFmt w:val="bullet"/>
      <w:lvlText w:val="•"/>
      <w:lvlJc w:val="left"/>
      <w:pPr>
        <w:ind w:left="4713" w:hanging="283"/>
      </w:pPr>
      <w:rPr>
        <w:rFonts w:hint="default"/>
        <w:lang w:val="en-US" w:eastAsia="en-US" w:bidi="en-US"/>
      </w:rPr>
    </w:lvl>
    <w:lvl w:ilvl="6" w:tplc="5648706A">
      <w:numFmt w:val="bullet"/>
      <w:lvlText w:val="•"/>
      <w:lvlJc w:val="left"/>
      <w:pPr>
        <w:ind w:left="5631" w:hanging="283"/>
      </w:pPr>
      <w:rPr>
        <w:rFonts w:hint="default"/>
        <w:lang w:val="en-US" w:eastAsia="en-US" w:bidi="en-US"/>
      </w:rPr>
    </w:lvl>
    <w:lvl w:ilvl="7" w:tplc="1D0EF0FA">
      <w:numFmt w:val="bullet"/>
      <w:lvlText w:val="•"/>
      <w:lvlJc w:val="left"/>
      <w:pPr>
        <w:ind w:left="6550" w:hanging="283"/>
      </w:pPr>
      <w:rPr>
        <w:rFonts w:hint="default"/>
        <w:lang w:val="en-US" w:eastAsia="en-US" w:bidi="en-US"/>
      </w:rPr>
    </w:lvl>
    <w:lvl w:ilvl="8" w:tplc="6E6EF544">
      <w:numFmt w:val="bullet"/>
      <w:lvlText w:val="•"/>
      <w:lvlJc w:val="left"/>
      <w:pPr>
        <w:ind w:left="7469" w:hanging="283"/>
      </w:pPr>
      <w:rPr>
        <w:rFonts w:hint="default"/>
        <w:lang w:val="en-US" w:eastAsia="en-US" w:bidi="en-US"/>
      </w:rPr>
    </w:lvl>
  </w:abstractNum>
  <w:abstractNum w:abstractNumId="1" w15:restartNumberingAfterBreak="0">
    <w:nsid w:val="372366B4"/>
    <w:multiLevelType w:val="hybridMultilevel"/>
    <w:tmpl w:val="AC48FA2A"/>
    <w:lvl w:ilvl="0" w:tplc="C5164F9E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en-US" w:eastAsia="en-US" w:bidi="en-US"/>
      </w:rPr>
    </w:lvl>
    <w:lvl w:ilvl="1" w:tplc="DE700186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DC78731C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9538295C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27D46EAA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CE9AA4AA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A8A8B3FE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CE6C9796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C8BA3556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53675F98"/>
    <w:multiLevelType w:val="hybridMultilevel"/>
    <w:tmpl w:val="4BF20794"/>
    <w:lvl w:ilvl="0" w:tplc="12164C46">
      <w:start w:val="1"/>
      <w:numFmt w:val="lowerLetter"/>
      <w:lvlText w:val="%1)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99"/>
        <w:sz w:val="24"/>
        <w:szCs w:val="24"/>
        <w:lang w:val="en-US" w:eastAsia="en-US" w:bidi="en-US"/>
      </w:rPr>
    </w:lvl>
    <w:lvl w:ilvl="1" w:tplc="A6627F14">
      <w:numFmt w:val="bullet"/>
      <w:lvlText w:val="•"/>
      <w:lvlJc w:val="left"/>
      <w:pPr>
        <w:ind w:left="1038" w:hanging="329"/>
      </w:pPr>
      <w:rPr>
        <w:rFonts w:hint="default"/>
        <w:lang w:val="en-US" w:eastAsia="en-US" w:bidi="en-US"/>
      </w:rPr>
    </w:lvl>
    <w:lvl w:ilvl="2" w:tplc="80D04EFE">
      <w:numFmt w:val="bullet"/>
      <w:lvlText w:val="•"/>
      <w:lvlJc w:val="left"/>
      <w:pPr>
        <w:ind w:left="1957" w:hanging="329"/>
      </w:pPr>
      <w:rPr>
        <w:rFonts w:hint="default"/>
        <w:lang w:val="en-US" w:eastAsia="en-US" w:bidi="en-US"/>
      </w:rPr>
    </w:lvl>
    <w:lvl w:ilvl="3" w:tplc="E362C15A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en-US"/>
      </w:rPr>
    </w:lvl>
    <w:lvl w:ilvl="4" w:tplc="0B6CA956">
      <w:numFmt w:val="bullet"/>
      <w:lvlText w:val="•"/>
      <w:lvlJc w:val="left"/>
      <w:pPr>
        <w:ind w:left="3794" w:hanging="329"/>
      </w:pPr>
      <w:rPr>
        <w:rFonts w:hint="default"/>
        <w:lang w:val="en-US" w:eastAsia="en-US" w:bidi="en-US"/>
      </w:rPr>
    </w:lvl>
    <w:lvl w:ilvl="5" w:tplc="B8FAF27A">
      <w:numFmt w:val="bullet"/>
      <w:lvlText w:val="•"/>
      <w:lvlJc w:val="left"/>
      <w:pPr>
        <w:ind w:left="4713" w:hanging="329"/>
      </w:pPr>
      <w:rPr>
        <w:rFonts w:hint="default"/>
        <w:lang w:val="en-US" w:eastAsia="en-US" w:bidi="en-US"/>
      </w:rPr>
    </w:lvl>
    <w:lvl w:ilvl="6" w:tplc="F2C4050C">
      <w:numFmt w:val="bullet"/>
      <w:lvlText w:val="•"/>
      <w:lvlJc w:val="left"/>
      <w:pPr>
        <w:ind w:left="5631" w:hanging="329"/>
      </w:pPr>
      <w:rPr>
        <w:rFonts w:hint="default"/>
        <w:lang w:val="en-US" w:eastAsia="en-US" w:bidi="en-US"/>
      </w:rPr>
    </w:lvl>
    <w:lvl w:ilvl="7" w:tplc="07966BAC">
      <w:numFmt w:val="bullet"/>
      <w:lvlText w:val="•"/>
      <w:lvlJc w:val="left"/>
      <w:pPr>
        <w:ind w:left="6550" w:hanging="329"/>
      </w:pPr>
      <w:rPr>
        <w:rFonts w:hint="default"/>
        <w:lang w:val="en-US" w:eastAsia="en-US" w:bidi="en-US"/>
      </w:rPr>
    </w:lvl>
    <w:lvl w:ilvl="8" w:tplc="1090B616">
      <w:numFmt w:val="bullet"/>
      <w:lvlText w:val="•"/>
      <w:lvlJc w:val="left"/>
      <w:pPr>
        <w:ind w:left="7469" w:hanging="329"/>
      </w:pPr>
      <w:rPr>
        <w:rFonts w:hint="default"/>
        <w:lang w:val="en-US" w:eastAsia="en-US" w:bidi="en-US"/>
      </w:rPr>
    </w:lvl>
  </w:abstractNum>
  <w:abstractNum w:abstractNumId="3" w15:restartNumberingAfterBreak="0">
    <w:nsid w:val="53D14AC9"/>
    <w:multiLevelType w:val="hybridMultilevel"/>
    <w:tmpl w:val="681C5436"/>
    <w:lvl w:ilvl="0" w:tplc="06E4D8D2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78F851AE">
      <w:numFmt w:val="bullet"/>
      <w:lvlText w:val="•"/>
      <w:lvlJc w:val="left"/>
      <w:pPr>
        <w:ind w:left="1038" w:hanging="255"/>
      </w:pPr>
      <w:rPr>
        <w:rFonts w:hint="default"/>
        <w:lang w:val="en-US" w:eastAsia="en-US" w:bidi="en-US"/>
      </w:rPr>
    </w:lvl>
    <w:lvl w:ilvl="2" w:tplc="F5F41E7E">
      <w:numFmt w:val="bullet"/>
      <w:lvlText w:val="•"/>
      <w:lvlJc w:val="left"/>
      <w:pPr>
        <w:ind w:left="1957" w:hanging="255"/>
      </w:pPr>
      <w:rPr>
        <w:rFonts w:hint="default"/>
        <w:lang w:val="en-US" w:eastAsia="en-US" w:bidi="en-US"/>
      </w:rPr>
    </w:lvl>
    <w:lvl w:ilvl="3" w:tplc="3D6E265A">
      <w:numFmt w:val="bullet"/>
      <w:lvlText w:val="•"/>
      <w:lvlJc w:val="left"/>
      <w:pPr>
        <w:ind w:left="2875" w:hanging="255"/>
      </w:pPr>
      <w:rPr>
        <w:rFonts w:hint="default"/>
        <w:lang w:val="en-US" w:eastAsia="en-US" w:bidi="en-US"/>
      </w:rPr>
    </w:lvl>
    <w:lvl w:ilvl="4" w:tplc="B6488730">
      <w:numFmt w:val="bullet"/>
      <w:lvlText w:val="•"/>
      <w:lvlJc w:val="left"/>
      <w:pPr>
        <w:ind w:left="3794" w:hanging="255"/>
      </w:pPr>
      <w:rPr>
        <w:rFonts w:hint="default"/>
        <w:lang w:val="en-US" w:eastAsia="en-US" w:bidi="en-US"/>
      </w:rPr>
    </w:lvl>
    <w:lvl w:ilvl="5" w:tplc="9FAE4FC4">
      <w:numFmt w:val="bullet"/>
      <w:lvlText w:val="•"/>
      <w:lvlJc w:val="left"/>
      <w:pPr>
        <w:ind w:left="4713" w:hanging="255"/>
      </w:pPr>
      <w:rPr>
        <w:rFonts w:hint="default"/>
        <w:lang w:val="en-US" w:eastAsia="en-US" w:bidi="en-US"/>
      </w:rPr>
    </w:lvl>
    <w:lvl w:ilvl="6" w:tplc="7212B6BA">
      <w:numFmt w:val="bullet"/>
      <w:lvlText w:val="•"/>
      <w:lvlJc w:val="left"/>
      <w:pPr>
        <w:ind w:left="5631" w:hanging="255"/>
      </w:pPr>
      <w:rPr>
        <w:rFonts w:hint="default"/>
        <w:lang w:val="en-US" w:eastAsia="en-US" w:bidi="en-US"/>
      </w:rPr>
    </w:lvl>
    <w:lvl w:ilvl="7" w:tplc="8EFCFF78">
      <w:numFmt w:val="bullet"/>
      <w:lvlText w:val="•"/>
      <w:lvlJc w:val="left"/>
      <w:pPr>
        <w:ind w:left="6550" w:hanging="255"/>
      </w:pPr>
      <w:rPr>
        <w:rFonts w:hint="default"/>
        <w:lang w:val="en-US" w:eastAsia="en-US" w:bidi="en-US"/>
      </w:rPr>
    </w:lvl>
    <w:lvl w:ilvl="8" w:tplc="412ED4B0">
      <w:numFmt w:val="bullet"/>
      <w:lvlText w:val="•"/>
      <w:lvlJc w:val="left"/>
      <w:pPr>
        <w:ind w:left="7469" w:hanging="255"/>
      </w:pPr>
      <w:rPr>
        <w:rFonts w:hint="default"/>
        <w:lang w:val="en-US" w:eastAsia="en-US" w:bidi="en-US"/>
      </w:rPr>
    </w:lvl>
  </w:abstractNum>
  <w:abstractNum w:abstractNumId="4" w15:restartNumberingAfterBreak="0">
    <w:nsid w:val="5DA55593"/>
    <w:multiLevelType w:val="hybridMultilevel"/>
    <w:tmpl w:val="4094D40C"/>
    <w:lvl w:ilvl="0" w:tplc="6E86A52E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99"/>
        <w:sz w:val="24"/>
        <w:szCs w:val="24"/>
        <w:lang w:val="en-US" w:eastAsia="en-US" w:bidi="en-US"/>
      </w:rPr>
    </w:lvl>
    <w:lvl w:ilvl="1" w:tplc="565A4A9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1F44FDA6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5EE266F2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EF0C4A0E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8C62EC78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55D42C6E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FBEACCC4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10D2C92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698028E8"/>
    <w:multiLevelType w:val="hybridMultilevel"/>
    <w:tmpl w:val="12C6971E"/>
    <w:lvl w:ilvl="0" w:tplc="C31EFD0C">
      <w:start w:val="2"/>
      <w:numFmt w:val="decimal"/>
      <w:lvlText w:val="(%1)"/>
      <w:lvlJc w:val="left"/>
      <w:pPr>
        <w:ind w:left="1021" w:hanging="339"/>
        <w:jc w:val="left"/>
      </w:pPr>
      <w:rPr>
        <w:rFonts w:ascii="Times New Roman" w:eastAsia="Times New Roman" w:hAnsi="Times New Roman" w:cs="Times New Roman" w:hint="default"/>
        <w:color w:val="1C283C"/>
        <w:w w:val="99"/>
        <w:sz w:val="24"/>
        <w:szCs w:val="24"/>
        <w:lang w:val="en-US" w:eastAsia="en-US" w:bidi="en-US"/>
      </w:rPr>
    </w:lvl>
    <w:lvl w:ilvl="1" w:tplc="7BDE69F8">
      <w:numFmt w:val="bullet"/>
      <w:lvlText w:val="•"/>
      <w:lvlJc w:val="left"/>
      <w:pPr>
        <w:ind w:left="1848" w:hanging="339"/>
      </w:pPr>
      <w:rPr>
        <w:rFonts w:hint="default"/>
        <w:lang w:val="en-US" w:eastAsia="en-US" w:bidi="en-US"/>
      </w:rPr>
    </w:lvl>
    <w:lvl w:ilvl="2" w:tplc="B4D600F8">
      <w:numFmt w:val="bullet"/>
      <w:lvlText w:val="•"/>
      <w:lvlJc w:val="left"/>
      <w:pPr>
        <w:ind w:left="2677" w:hanging="339"/>
      </w:pPr>
      <w:rPr>
        <w:rFonts w:hint="default"/>
        <w:lang w:val="en-US" w:eastAsia="en-US" w:bidi="en-US"/>
      </w:rPr>
    </w:lvl>
    <w:lvl w:ilvl="3" w:tplc="82FA5134">
      <w:numFmt w:val="bullet"/>
      <w:lvlText w:val="•"/>
      <w:lvlJc w:val="left"/>
      <w:pPr>
        <w:ind w:left="3505" w:hanging="339"/>
      </w:pPr>
      <w:rPr>
        <w:rFonts w:hint="default"/>
        <w:lang w:val="en-US" w:eastAsia="en-US" w:bidi="en-US"/>
      </w:rPr>
    </w:lvl>
    <w:lvl w:ilvl="4" w:tplc="A4E8C688">
      <w:numFmt w:val="bullet"/>
      <w:lvlText w:val="•"/>
      <w:lvlJc w:val="left"/>
      <w:pPr>
        <w:ind w:left="4334" w:hanging="339"/>
      </w:pPr>
      <w:rPr>
        <w:rFonts w:hint="default"/>
        <w:lang w:val="en-US" w:eastAsia="en-US" w:bidi="en-US"/>
      </w:rPr>
    </w:lvl>
    <w:lvl w:ilvl="5" w:tplc="FE9C2C32">
      <w:numFmt w:val="bullet"/>
      <w:lvlText w:val="•"/>
      <w:lvlJc w:val="left"/>
      <w:pPr>
        <w:ind w:left="5163" w:hanging="339"/>
      </w:pPr>
      <w:rPr>
        <w:rFonts w:hint="default"/>
        <w:lang w:val="en-US" w:eastAsia="en-US" w:bidi="en-US"/>
      </w:rPr>
    </w:lvl>
    <w:lvl w:ilvl="6" w:tplc="BD8417FA">
      <w:numFmt w:val="bullet"/>
      <w:lvlText w:val="•"/>
      <w:lvlJc w:val="left"/>
      <w:pPr>
        <w:ind w:left="5991" w:hanging="339"/>
      </w:pPr>
      <w:rPr>
        <w:rFonts w:hint="default"/>
        <w:lang w:val="en-US" w:eastAsia="en-US" w:bidi="en-US"/>
      </w:rPr>
    </w:lvl>
    <w:lvl w:ilvl="7" w:tplc="1DC0BB5A">
      <w:numFmt w:val="bullet"/>
      <w:lvlText w:val="•"/>
      <w:lvlJc w:val="left"/>
      <w:pPr>
        <w:ind w:left="6820" w:hanging="339"/>
      </w:pPr>
      <w:rPr>
        <w:rFonts w:hint="default"/>
        <w:lang w:val="en-US" w:eastAsia="en-US" w:bidi="en-US"/>
      </w:rPr>
    </w:lvl>
    <w:lvl w:ilvl="8" w:tplc="FE4C6EAE">
      <w:numFmt w:val="bullet"/>
      <w:lvlText w:val="•"/>
      <w:lvlJc w:val="left"/>
      <w:pPr>
        <w:ind w:left="7649" w:hanging="339"/>
      </w:pPr>
      <w:rPr>
        <w:rFonts w:hint="default"/>
        <w:lang w:val="en-US" w:eastAsia="en-US" w:bidi="en-US"/>
      </w:rPr>
    </w:lvl>
  </w:abstractNum>
  <w:abstractNum w:abstractNumId="6" w15:restartNumberingAfterBreak="0">
    <w:nsid w:val="7E9978F6"/>
    <w:multiLevelType w:val="hybridMultilevel"/>
    <w:tmpl w:val="6D9EB614"/>
    <w:lvl w:ilvl="0" w:tplc="C55AA0DC">
      <w:start w:val="1"/>
      <w:numFmt w:val="lowerLetter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color w:val="1C283C"/>
        <w:spacing w:val="-30"/>
        <w:w w:val="100"/>
        <w:sz w:val="24"/>
        <w:szCs w:val="24"/>
        <w:lang w:val="en-US" w:eastAsia="en-US" w:bidi="en-US"/>
      </w:rPr>
    </w:lvl>
    <w:lvl w:ilvl="1" w:tplc="CA8026FE">
      <w:numFmt w:val="bullet"/>
      <w:lvlText w:val="•"/>
      <w:lvlJc w:val="left"/>
      <w:pPr>
        <w:ind w:left="1038" w:hanging="276"/>
      </w:pPr>
      <w:rPr>
        <w:rFonts w:hint="default"/>
        <w:lang w:val="en-US" w:eastAsia="en-US" w:bidi="en-US"/>
      </w:rPr>
    </w:lvl>
    <w:lvl w:ilvl="2" w:tplc="2A521198">
      <w:numFmt w:val="bullet"/>
      <w:lvlText w:val="•"/>
      <w:lvlJc w:val="left"/>
      <w:pPr>
        <w:ind w:left="1957" w:hanging="276"/>
      </w:pPr>
      <w:rPr>
        <w:rFonts w:hint="default"/>
        <w:lang w:val="en-US" w:eastAsia="en-US" w:bidi="en-US"/>
      </w:rPr>
    </w:lvl>
    <w:lvl w:ilvl="3" w:tplc="4704B668">
      <w:numFmt w:val="bullet"/>
      <w:lvlText w:val="•"/>
      <w:lvlJc w:val="left"/>
      <w:pPr>
        <w:ind w:left="2875" w:hanging="276"/>
      </w:pPr>
      <w:rPr>
        <w:rFonts w:hint="default"/>
        <w:lang w:val="en-US" w:eastAsia="en-US" w:bidi="en-US"/>
      </w:rPr>
    </w:lvl>
    <w:lvl w:ilvl="4" w:tplc="38F0A4D4">
      <w:numFmt w:val="bullet"/>
      <w:lvlText w:val="•"/>
      <w:lvlJc w:val="left"/>
      <w:pPr>
        <w:ind w:left="3794" w:hanging="276"/>
      </w:pPr>
      <w:rPr>
        <w:rFonts w:hint="default"/>
        <w:lang w:val="en-US" w:eastAsia="en-US" w:bidi="en-US"/>
      </w:rPr>
    </w:lvl>
    <w:lvl w:ilvl="5" w:tplc="D696EE16">
      <w:numFmt w:val="bullet"/>
      <w:lvlText w:val="•"/>
      <w:lvlJc w:val="left"/>
      <w:pPr>
        <w:ind w:left="4713" w:hanging="276"/>
      </w:pPr>
      <w:rPr>
        <w:rFonts w:hint="default"/>
        <w:lang w:val="en-US" w:eastAsia="en-US" w:bidi="en-US"/>
      </w:rPr>
    </w:lvl>
    <w:lvl w:ilvl="6" w:tplc="68749EFE">
      <w:numFmt w:val="bullet"/>
      <w:lvlText w:val="•"/>
      <w:lvlJc w:val="left"/>
      <w:pPr>
        <w:ind w:left="5631" w:hanging="276"/>
      </w:pPr>
      <w:rPr>
        <w:rFonts w:hint="default"/>
        <w:lang w:val="en-US" w:eastAsia="en-US" w:bidi="en-US"/>
      </w:rPr>
    </w:lvl>
    <w:lvl w:ilvl="7" w:tplc="E110CAB2">
      <w:numFmt w:val="bullet"/>
      <w:lvlText w:val="•"/>
      <w:lvlJc w:val="left"/>
      <w:pPr>
        <w:ind w:left="6550" w:hanging="276"/>
      </w:pPr>
      <w:rPr>
        <w:rFonts w:hint="default"/>
        <w:lang w:val="en-US" w:eastAsia="en-US" w:bidi="en-US"/>
      </w:rPr>
    </w:lvl>
    <w:lvl w:ilvl="8" w:tplc="835A87E4">
      <w:numFmt w:val="bullet"/>
      <w:lvlText w:val="•"/>
      <w:lvlJc w:val="left"/>
      <w:pPr>
        <w:ind w:left="7469" w:hanging="27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26"/>
    <w:rsid w:val="00744D18"/>
    <w:rsid w:val="009D1126"/>
    <w:rsid w:val="00EB5746"/>
    <w:rsid w:val="00F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8B8"/>
  <w15:docId w15:val="{813E39BF-21CD-4E57-8EBB-190299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6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10</cp:revision>
  <dcterms:created xsi:type="dcterms:W3CDTF">2021-11-11T14:29:00Z</dcterms:created>
  <dcterms:modified xsi:type="dcterms:W3CDTF">2021-11-11T14:30:00Z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