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51EA" w14:textId="23D21988" w:rsidR="009B2B37" w:rsidRDefault="009B2B37" w:rsidP="009B2B37">
      <w:pPr>
        <w:pStyle w:val="Balk1"/>
        <w:spacing w:before="77" w:line="276" w:lineRule="auto"/>
        <w:ind w:left="0"/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022"/>
        <w:gridCol w:w="1868"/>
        <w:gridCol w:w="1825"/>
      </w:tblGrid>
      <w:tr w:rsidR="009B2B37" w:rsidRPr="004C4A7F" w14:paraId="7D9527DF" w14:textId="77777777" w:rsidTr="009B2B37">
        <w:trPr>
          <w:trHeight w:val="19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FA1206E" w14:textId="791F981F" w:rsidR="009B2B37" w:rsidRPr="004C4A7F" w:rsidRDefault="009B2B37" w:rsidP="00130E29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10B7F9E" wp14:editId="04CF15D2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15876</wp:posOffset>
                  </wp:positionV>
                  <wp:extent cx="1085850" cy="84963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365E1A5" w14:textId="1C796B8C" w:rsidR="009B2B37" w:rsidRPr="004C4A7F" w:rsidRDefault="009B2B37" w:rsidP="00130E29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68E4DEE" w14:textId="1EF86CF9" w:rsidR="009B2B37" w:rsidRPr="004C4A7F" w:rsidRDefault="009B2B37" w:rsidP="009B2B37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GÜVENLİK SORUŞTURMASI VE ARŞİV ARAŞTIRMASI YÖNERGESİ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9F3D" w14:textId="77777777" w:rsidR="009B2B37" w:rsidRPr="009B2B37" w:rsidRDefault="009B2B37" w:rsidP="00130E29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F9EA0F" w14:textId="47ED1399" w:rsidR="009B2B37" w:rsidRPr="009B2B37" w:rsidRDefault="009B2B37" w:rsidP="009B2B37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B2B37">
              <w:rPr>
                <w:rFonts w:eastAsia="Calibri"/>
                <w:sz w:val="20"/>
                <w:szCs w:val="20"/>
                <w:lang w:eastAsia="tr-TR" w:bidi="tr-TR"/>
              </w:rPr>
              <w:t>EYS-YNG-026</w:t>
            </w:r>
          </w:p>
        </w:tc>
      </w:tr>
      <w:tr w:rsidR="009B2B37" w:rsidRPr="004C4A7F" w14:paraId="00711934" w14:textId="77777777" w:rsidTr="009B2B37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E27A1D4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7819C2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F5D9" w14:textId="77777777" w:rsidR="009B2B37" w:rsidRPr="009B2B37" w:rsidRDefault="009B2B37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6485E2" w14:textId="639CEB8B" w:rsidR="009B2B37" w:rsidRPr="009B2B37" w:rsidRDefault="009B2B37" w:rsidP="009B2B37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B2B37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9B2B37" w:rsidRPr="004C4A7F" w14:paraId="0B4BBCD8" w14:textId="77777777" w:rsidTr="009B2B37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DE09B2A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AD415E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7D0" w14:textId="77777777" w:rsidR="009B2B37" w:rsidRPr="009B2B37" w:rsidRDefault="009B2B37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E55DC9" w14:textId="34DB7ED1" w:rsidR="009B2B37" w:rsidRPr="009B2B37" w:rsidRDefault="009B2B37" w:rsidP="009B2B37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B2B37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9B2B37" w:rsidRPr="004C4A7F" w14:paraId="7E2D4EDF" w14:textId="77777777" w:rsidTr="009B2B37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3984F41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2577EF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E775" w14:textId="77777777" w:rsidR="009B2B37" w:rsidRPr="009B2B37" w:rsidRDefault="009B2B37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9A7953" w14:textId="372C2D88" w:rsidR="009B2B37" w:rsidRPr="009B2B37" w:rsidRDefault="009B2B37" w:rsidP="009B2B37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 </w:t>
            </w:r>
            <w:r w:rsidRPr="009B2B37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9B2B37" w:rsidRPr="004C4A7F" w14:paraId="10DE73C1" w14:textId="77777777" w:rsidTr="009B2B37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37CC88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AE3947" w14:textId="77777777" w:rsidR="009B2B37" w:rsidRPr="004C4A7F" w:rsidRDefault="009B2B37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D8114A" w14:textId="77777777" w:rsidR="009B2B37" w:rsidRPr="009B2B37" w:rsidRDefault="009B2B37" w:rsidP="00130E29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</w:p>
          <w:p w14:paraId="601C1C12" w14:textId="75440638" w:rsidR="009B2B37" w:rsidRPr="009B2B37" w:rsidRDefault="009B2B37" w:rsidP="00130E29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B2B37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: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16DD6BA" w14:textId="2040DE71" w:rsidR="009B2B37" w:rsidRPr="009B2B37" w:rsidRDefault="009B2B37" w:rsidP="00130E29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 </w:t>
            </w:r>
            <w:r w:rsidRPr="009B2B37">
              <w:rPr>
                <w:rFonts w:eastAsia="Calibri"/>
                <w:sz w:val="20"/>
                <w:szCs w:val="20"/>
                <w:lang w:eastAsia="tr-TR" w:bidi="tr-TR"/>
              </w:rPr>
              <w:t>3</w:t>
            </w:r>
          </w:p>
          <w:p w14:paraId="5DD35E88" w14:textId="77777777" w:rsidR="009B2B37" w:rsidRPr="009B2B37" w:rsidRDefault="009B2B37" w:rsidP="00130E29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51AE1B64" w14:textId="77777777" w:rsidR="00BC5583" w:rsidRDefault="00BC5583">
      <w:pPr>
        <w:pStyle w:val="GvdeMetni"/>
        <w:spacing w:before="6"/>
        <w:ind w:left="0"/>
        <w:rPr>
          <w:b/>
          <w:sz w:val="25"/>
        </w:rPr>
      </w:pPr>
    </w:p>
    <w:p w14:paraId="1F5DB368" w14:textId="77777777" w:rsidR="00BC5583" w:rsidRDefault="00EC7926" w:rsidP="007200C6">
      <w:pPr>
        <w:spacing w:before="1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</w:p>
    <w:p w14:paraId="68B85BB8" w14:textId="77777777" w:rsidR="00BC5583" w:rsidRDefault="00EC7926" w:rsidP="007200C6">
      <w:pPr>
        <w:pStyle w:val="GvdeMetni"/>
        <w:spacing w:line="276" w:lineRule="auto"/>
        <w:ind w:left="0" w:right="110"/>
        <w:jc w:val="both"/>
      </w:pPr>
      <w:r>
        <w:rPr>
          <w:b/>
        </w:rPr>
        <w:t xml:space="preserve">MADDE 1- </w:t>
      </w:r>
      <w:r>
        <w:t xml:space="preserve">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Üniversitesinde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Devletin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, </w:t>
      </w:r>
      <w:proofErr w:type="spellStart"/>
      <w:r>
        <w:t>iç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menfaatlerinin</w:t>
      </w:r>
      <w:proofErr w:type="spellEnd"/>
      <w:r>
        <w:t xml:space="preserve">, milli </w:t>
      </w:r>
      <w:proofErr w:type="spellStart"/>
      <w:r>
        <w:t>varlığın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bütünlüğün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görebileceği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tehlikeye</w:t>
      </w:r>
      <w:proofErr w:type="spellEnd"/>
      <w:r>
        <w:t xml:space="preserve"> </w:t>
      </w:r>
      <w:proofErr w:type="spellStart"/>
      <w:r>
        <w:t>düşebileceği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</w:t>
      </w:r>
      <w:r>
        <w:t>in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dereceli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kısımları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unvanların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unvanlarda</w:t>
      </w:r>
      <w:proofErr w:type="spellEnd"/>
      <w:r>
        <w:t xml:space="preserve"> </w:t>
      </w:r>
      <w:proofErr w:type="spellStart"/>
      <w:r>
        <w:t>çalışacak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araştırmasının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düzenlemektir</w:t>
      </w:r>
      <w:proofErr w:type="spellEnd"/>
      <w:r>
        <w:t>.</w:t>
      </w:r>
    </w:p>
    <w:p w14:paraId="351F93F7" w14:textId="01FA74D5" w:rsidR="00BC5583" w:rsidRDefault="009B2B37" w:rsidP="007200C6">
      <w:pPr>
        <w:pStyle w:val="Balk1"/>
        <w:ind w:left="0"/>
      </w:pPr>
      <w:r>
        <w:t xml:space="preserve">  </w:t>
      </w:r>
      <w:proofErr w:type="spellStart"/>
      <w:r w:rsidR="00EC7926">
        <w:t>Kapsam</w:t>
      </w:r>
      <w:proofErr w:type="spellEnd"/>
    </w:p>
    <w:p w14:paraId="177C4BEA" w14:textId="77777777" w:rsidR="00BC5583" w:rsidRDefault="00EC7926" w:rsidP="007200C6">
      <w:pPr>
        <w:pStyle w:val="GvdeMetni"/>
        <w:spacing w:line="276" w:lineRule="auto"/>
        <w:ind w:left="0" w:right="109"/>
        <w:jc w:val="both"/>
      </w:pPr>
      <w:r>
        <w:rPr>
          <w:b/>
        </w:rPr>
        <w:t xml:space="preserve">MADDE 2- </w:t>
      </w:r>
      <w:r>
        <w:t xml:space="preserve">Bu </w:t>
      </w:r>
      <w:proofErr w:type="spellStart"/>
      <w:r>
        <w:t>Yönerge</w:t>
      </w:r>
      <w:proofErr w:type="spellEnd"/>
      <w:r>
        <w:t xml:space="preserve">;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dereceli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unvanlara</w:t>
      </w:r>
      <w:proofErr w:type="spellEnd"/>
      <w:r>
        <w:t xml:space="preserve"> </w:t>
      </w:r>
      <w:proofErr w:type="spellStart"/>
      <w:r>
        <w:t>atanacak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araştırmasının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usullerini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mer</w:t>
      </w:r>
      <w:r>
        <w:t>cileri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3EE8B6CB" w14:textId="19A4AE4E" w:rsidR="00BC5583" w:rsidRDefault="009B2B37" w:rsidP="007200C6">
      <w:pPr>
        <w:pStyle w:val="Balk1"/>
        <w:ind w:left="0"/>
      </w:pPr>
      <w:r>
        <w:t xml:space="preserve">  </w:t>
      </w:r>
      <w:proofErr w:type="spellStart"/>
      <w:r w:rsidR="00EC7926">
        <w:t>Dayanak</w:t>
      </w:r>
      <w:proofErr w:type="spellEnd"/>
    </w:p>
    <w:p w14:paraId="00B95654" w14:textId="77777777" w:rsidR="00BC5583" w:rsidRDefault="00EC7926" w:rsidP="007200C6">
      <w:pPr>
        <w:pStyle w:val="GvdeMetni"/>
        <w:spacing w:before="42" w:line="276" w:lineRule="auto"/>
        <w:ind w:left="0" w:right="110"/>
        <w:jc w:val="both"/>
      </w:pPr>
      <w:r>
        <w:rPr>
          <w:b/>
        </w:rPr>
        <w:t xml:space="preserve">MADDE 3- </w:t>
      </w:r>
      <w:r>
        <w:t xml:space="preserve">Bu </w:t>
      </w:r>
      <w:proofErr w:type="spellStart"/>
      <w:r>
        <w:t>Yönerge</w:t>
      </w:r>
      <w:proofErr w:type="spellEnd"/>
      <w:r>
        <w:t xml:space="preserve">, 14/2/2000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2000/284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rPr>
          <w:spacing w:val="-4"/>
        </w:rPr>
        <w:t>ile</w:t>
      </w:r>
      <w:proofErr w:type="spellEnd"/>
      <w:r>
        <w:rPr>
          <w:spacing w:val="52"/>
        </w:rP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, 12/4/2000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24018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Gazete'de</w:t>
      </w:r>
      <w:proofErr w:type="spellEnd"/>
      <w:r>
        <w:t xml:space="preserve"> </w:t>
      </w:r>
      <w:proofErr w:type="spellStart"/>
      <w:r>
        <w:t>yayımlanarak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konulan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i</w:t>
      </w:r>
      <w:r>
        <w:t>le</w:t>
      </w:r>
      <w:proofErr w:type="spellEnd"/>
      <w:r>
        <w:t xml:space="preserve"> 25 </w:t>
      </w:r>
      <w:proofErr w:type="spellStart"/>
      <w:r>
        <w:t>Ekim</w:t>
      </w:r>
      <w:proofErr w:type="spellEnd"/>
      <w:r>
        <w:t xml:space="preserve"> 2018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rPr>
          <w:spacing w:val="-9"/>
        </w:rPr>
        <w:t>ve</w:t>
      </w:r>
      <w:proofErr w:type="spellEnd"/>
      <w:r>
        <w:rPr>
          <w:spacing w:val="-9"/>
        </w:rPr>
        <w:t xml:space="preserve"> </w:t>
      </w:r>
      <w:r>
        <w:t xml:space="preserve">30576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yayımlanarak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rPr>
          <w:color w:val="212121"/>
        </w:rPr>
        <w:t>Güvenlik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Soruşturması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4"/>
        </w:rPr>
        <w:t>Arşiv</w:t>
      </w:r>
      <w:proofErr w:type="spellEnd"/>
      <w:r>
        <w:rPr>
          <w:color w:val="212121"/>
          <w:spacing w:val="52"/>
        </w:rPr>
        <w:t xml:space="preserve"> </w:t>
      </w:r>
      <w:proofErr w:type="spellStart"/>
      <w:r>
        <w:rPr>
          <w:color w:val="212121"/>
        </w:rPr>
        <w:t>Araştırması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Yönetmeliğinde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Değişiklik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Yapılmasına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Dair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Yönetmelik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maddelerine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3"/>
        </w:rPr>
        <w:t>göre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t>hazırlanmıştır</w:t>
      </w:r>
      <w:proofErr w:type="spellEnd"/>
      <w:r>
        <w:t>.</w:t>
      </w:r>
    </w:p>
    <w:p w14:paraId="42244500" w14:textId="1EE608CA" w:rsidR="00BC5583" w:rsidRDefault="009B2B37" w:rsidP="007200C6">
      <w:pPr>
        <w:pStyle w:val="Balk1"/>
        <w:ind w:left="0"/>
      </w:pPr>
      <w:r>
        <w:t xml:space="preserve">  </w:t>
      </w:r>
      <w:proofErr w:type="spellStart"/>
      <w:r w:rsidR="00EC7926">
        <w:t>Tanımlar</w:t>
      </w:r>
      <w:proofErr w:type="spellEnd"/>
    </w:p>
    <w:p w14:paraId="0477F51C" w14:textId="77777777" w:rsidR="00BC5583" w:rsidRDefault="00EC7926" w:rsidP="007200C6">
      <w:pPr>
        <w:spacing w:before="42"/>
        <w:rPr>
          <w:sz w:val="24"/>
        </w:rPr>
      </w:pPr>
      <w:r>
        <w:rPr>
          <w:b/>
          <w:sz w:val="24"/>
        </w:rPr>
        <w:t xml:space="preserve">MADDE 4- </w:t>
      </w:r>
      <w:r>
        <w:rPr>
          <w:sz w:val="24"/>
        </w:rPr>
        <w:t xml:space="preserve">Bu </w:t>
      </w:r>
      <w:proofErr w:type="spellStart"/>
      <w:r>
        <w:rPr>
          <w:sz w:val="24"/>
        </w:rPr>
        <w:t>Yönergede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>:</w:t>
      </w:r>
    </w:p>
    <w:p w14:paraId="0902DA10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377"/>
          <w:tab w:val="left" w:pos="2240"/>
        </w:tabs>
        <w:spacing w:before="41"/>
        <w:ind w:left="0" w:right="0" w:firstLine="0"/>
        <w:rPr>
          <w:sz w:val="24"/>
        </w:rPr>
      </w:pPr>
      <w:proofErr w:type="spellStart"/>
      <w:r>
        <w:rPr>
          <w:b/>
          <w:sz w:val="24"/>
        </w:rPr>
        <w:t>Üniversite</w:t>
      </w:r>
      <w:proofErr w:type="spellEnd"/>
      <w:r>
        <w:rPr>
          <w:b/>
          <w:sz w:val="24"/>
        </w:rPr>
        <w:tab/>
        <w:t xml:space="preserve">: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Üniversitesi’ni</w:t>
      </w:r>
      <w:proofErr w:type="spellEnd"/>
      <w:r>
        <w:rPr>
          <w:sz w:val="24"/>
        </w:rPr>
        <w:t>,</w:t>
      </w:r>
    </w:p>
    <w:p w14:paraId="4D7455B4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391"/>
          <w:tab w:val="left" w:pos="2240"/>
        </w:tabs>
        <w:spacing w:before="42"/>
        <w:ind w:left="0" w:right="0" w:firstLine="0"/>
        <w:rPr>
          <w:sz w:val="24"/>
        </w:rPr>
      </w:pPr>
      <w:proofErr w:type="spellStart"/>
      <w:r>
        <w:rPr>
          <w:b/>
          <w:sz w:val="24"/>
        </w:rPr>
        <w:t>Rektör</w:t>
      </w:r>
      <w:proofErr w:type="spellEnd"/>
      <w:r>
        <w:rPr>
          <w:b/>
          <w:sz w:val="24"/>
        </w:rPr>
        <w:tab/>
        <w:t xml:space="preserve">: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Rektörünü</w:t>
      </w:r>
      <w:proofErr w:type="spellEnd"/>
      <w:r>
        <w:rPr>
          <w:sz w:val="24"/>
        </w:rPr>
        <w:t>,</w:t>
      </w:r>
    </w:p>
    <w:p w14:paraId="0308B595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364"/>
          <w:tab w:val="left" w:pos="2240"/>
        </w:tabs>
        <w:spacing w:before="41"/>
        <w:ind w:left="0" w:right="0" w:firstLine="0"/>
        <w:rPr>
          <w:sz w:val="24"/>
        </w:rPr>
      </w:pPr>
      <w:proofErr w:type="spellStart"/>
      <w:r>
        <w:rPr>
          <w:b/>
          <w:sz w:val="24"/>
        </w:rPr>
        <w:t>Senato</w:t>
      </w:r>
      <w:proofErr w:type="spellEnd"/>
      <w:r>
        <w:rPr>
          <w:b/>
          <w:sz w:val="24"/>
        </w:rPr>
        <w:tab/>
        <w:t xml:space="preserve">: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Senatosu’nu</w:t>
      </w:r>
      <w:proofErr w:type="spellEnd"/>
    </w:p>
    <w:p w14:paraId="002ACAC8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332"/>
          <w:tab w:val="left" w:pos="2252"/>
        </w:tabs>
        <w:spacing w:before="41" w:line="276" w:lineRule="auto"/>
        <w:ind w:left="0" w:right="109" w:firstLine="0"/>
        <w:jc w:val="both"/>
        <w:rPr>
          <w:sz w:val="24"/>
        </w:rPr>
      </w:pPr>
      <w:proofErr w:type="spellStart"/>
      <w:r>
        <w:rPr>
          <w:b/>
          <w:sz w:val="24"/>
        </w:rPr>
        <w:t>Yönetmelik</w:t>
      </w:r>
      <w:proofErr w:type="spellEnd"/>
      <w:r>
        <w:rPr>
          <w:b/>
          <w:sz w:val="24"/>
        </w:rPr>
        <w:tab/>
        <w:t xml:space="preserve">: </w:t>
      </w: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14/2/2000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2000/284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Bakanlar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Kurulu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Kararı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yürürlüğe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Yönetmeliği’ni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04B2103C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373"/>
        </w:tabs>
        <w:spacing w:line="276" w:lineRule="auto"/>
        <w:ind w:left="0" w:firstLine="0"/>
        <w:jc w:val="both"/>
        <w:rPr>
          <w:sz w:val="24"/>
        </w:rPr>
      </w:pPr>
      <w:proofErr w:type="spellStart"/>
      <w:r>
        <w:rPr>
          <w:b/>
          <w:sz w:val="24"/>
        </w:rPr>
        <w:t>Gizlilik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Yer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mesaj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doküman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</w:t>
      </w:r>
      <w:r>
        <w:rPr>
          <w:sz w:val="24"/>
        </w:rPr>
        <w:t>ç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ve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tesisler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milli </w:t>
      </w:r>
      <w:proofErr w:type="spellStart"/>
      <w:r>
        <w:rPr>
          <w:sz w:val="24"/>
        </w:rPr>
        <w:t>menfaatlerimizin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görebileceği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materyallerin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muhafaza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bulundurulduğu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tedbirleri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sınırlandırılmış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bölg</w:t>
      </w:r>
      <w:r>
        <w:rPr>
          <w:sz w:val="24"/>
        </w:rPr>
        <w:t>eyi</w:t>
      </w:r>
      <w:proofErr w:type="spellEnd"/>
      <w:r>
        <w:rPr>
          <w:sz w:val="24"/>
        </w:rPr>
        <w:t>,</w:t>
      </w:r>
    </w:p>
    <w:p w14:paraId="3E259366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404"/>
        </w:tabs>
        <w:spacing w:line="276" w:lineRule="auto"/>
        <w:ind w:left="0" w:firstLine="0"/>
        <w:jc w:val="both"/>
        <w:rPr>
          <w:sz w:val="24"/>
        </w:rPr>
      </w:pPr>
      <w:proofErr w:type="spellStart"/>
      <w:r>
        <w:rPr>
          <w:b/>
          <w:sz w:val="24"/>
        </w:rPr>
        <w:t>Gizlilik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Dereceleri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Yetkisiz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kimselere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sakıncalı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önem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derecesine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adlandırılmasını</w:t>
      </w:r>
      <w:proofErr w:type="spellEnd"/>
      <w:r>
        <w:rPr>
          <w:sz w:val="24"/>
        </w:rPr>
        <w:t>,</w:t>
      </w:r>
    </w:p>
    <w:p w14:paraId="42949631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392"/>
        </w:tabs>
        <w:spacing w:line="276" w:lineRule="auto"/>
        <w:ind w:left="0" w:firstLine="0"/>
        <w:jc w:val="both"/>
        <w:rPr>
          <w:sz w:val="24"/>
        </w:rPr>
      </w:pPr>
      <w:proofErr w:type="spellStart"/>
      <w:r>
        <w:rPr>
          <w:b/>
          <w:sz w:val="24"/>
        </w:rPr>
        <w:t>Güvenlik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soruşturması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Kişinin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kuvvetleri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aranmadığının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kolluk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kuvvetleri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istihbarat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ünitelerinde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yıkıcı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bulunmadığının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ahlaki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du</w:t>
      </w:r>
      <w:r>
        <w:rPr>
          <w:sz w:val="24"/>
        </w:rPr>
        <w:t>rumunun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yabancılar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yeteneğinin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kayıtlardan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ve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yerinden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saptanması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değerlendirilmesini</w:t>
      </w:r>
      <w:proofErr w:type="spellEnd"/>
      <w:r>
        <w:rPr>
          <w:sz w:val="24"/>
        </w:rPr>
        <w:t>,</w:t>
      </w:r>
    </w:p>
    <w:p w14:paraId="5952AEAA" w14:textId="77777777" w:rsidR="00BC5583" w:rsidRDefault="00BC5583" w:rsidP="007200C6">
      <w:pPr>
        <w:spacing w:line="276" w:lineRule="auto"/>
        <w:jc w:val="both"/>
        <w:rPr>
          <w:sz w:val="24"/>
        </w:rPr>
        <w:sectPr w:rsidR="00BC5583" w:rsidSect="009B2B37">
          <w:footerReference w:type="default" r:id="rId8"/>
          <w:type w:val="continuous"/>
          <w:pgSz w:w="11900" w:h="16820"/>
          <w:pgMar w:top="1340" w:right="843" w:bottom="1160" w:left="1300" w:header="708" w:footer="979" w:gutter="0"/>
          <w:pgNumType w:start="1"/>
          <w:cols w:space="708"/>
        </w:sectPr>
      </w:pPr>
    </w:p>
    <w:p w14:paraId="540399EE" w14:textId="77777777" w:rsidR="00BC5583" w:rsidRDefault="00EC7926" w:rsidP="007200C6">
      <w:pPr>
        <w:pStyle w:val="ListeParagraf"/>
        <w:numPr>
          <w:ilvl w:val="0"/>
          <w:numId w:val="1"/>
        </w:numPr>
        <w:tabs>
          <w:tab w:val="left" w:pos="391"/>
        </w:tabs>
        <w:spacing w:before="77" w:line="276" w:lineRule="auto"/>
        <w:ind w:left="0" w:firstLine="0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Arşiv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araştırması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Kişinin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kuvvetleri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aranmadığının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kolluk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kuvvetleri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istihbarat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ünitelerinde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saptanmasını</w:t>
      </w:r>
      <w:proofErr w:type="spellEnd"/>
      <w:r>
        <w:rPr>
          <w:sz w:val="24"/>
        </w:rPr>
        <w:t>,</w:t>
      </w:r>
    </w:p>
    <w:p w14:paraId="29352810" w14:textId="77777777" w:rsidR="00BC5583" w:rsidRDefault="00EC7926" w:rsidP="007200C6">
      <w:pPr>
        <w:pStyle w:val="Balk1"/>
        <w:ind w:left="0"/>
        <w:jc w:val="both"/>
      </w:pPr>
      <w:proofErr w:type="spellStart"/>
      <w:r>
        <w:t>Gizlilik</w:t>
      </w:r>
      <w:proofErr w:type="spellEnd"/>
      <w:r>
        <w:t xml:space="preserve"> </w:t>
      </w:r>
      <w:proofErr w:type="spellStart"/>
      <w:r>
        <w:t>Dereceli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Görevle</w:t>
      </w:r>
      <w:r>
        <w:t>r</w:t>
      </w:r>
      <w:proofErr w:type="spellEnd"/>
    </w:p>
    <w:p w14:paraId="774EB72A" w14:textId="77777777" w:rsidR="00BC5583" w:rsidRDefault="00EC7926" w:rsidP="007200C6">
      <w:pPr>
        <w:pStyle w:val="GvdeMetni"/>
        <w:spacing w:line="276" w:lineRule="auto"/>
        <w:ind w:left="0" w:right="110"/>
        <w:jc w:val="both"/>
      </w:pPr>
      <w:r>
        <w:rPr>
          <w:b/>
        </w:rPr>
        <w:t xml:space="preserve">MADDE 5- </w:t>
      </w:r>
      <w:proofErr w:type="spellStart"/>
      <w:r>
        <w:t>Üniversitemizin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birimlerde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,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dereceli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>.</w:t>
      </w:r>
    </w:p>
    <w:p w14:paraId="21D5BFCB" w14:textId="77777777" w:rsidR="00BC5583" w:rsidRDefault="00BC5583" w:rsidP="007200C6">
      <w:pPr>
        <w:pStyle w:val="GvdeMetni"/>
        <w:spacing w:before="7"/>
        <w:ind w:left="0"/>
        <w:rPr>
          <w:sz w:val="27"/>
        </w:rPr>
      </w:pPr>
    </w:p>
    <w:p w14:paraId="202B9A33" w14:textId="77777777" w:rsidR="00BC5583" w:rsidRDefault="00EC7926" w:rsidP="007200C6">
      <w:pPr>
        <w:spacing w:line="276" w:lineRule="auto"/>
        <w:ind w:right="516"/>
        <w:rPr>
          <w:sz w:val="24"/>
        </w:rPr>
      </w:pPr>
      <w:proofErr w:type="spellStart"/>
      <w:r>
        <w:rPr>
          <w:b/>
          <w:sz w:val="24"/>
        </w:rPr>
        <w:t>Hakkında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Güvenlik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Soruşturması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Arşiv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Araştırması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Personel</w:t>
      </w:r>
      <w:proofErr w:type="spellEnd"/>
      <w:r>
        <w:rPr>
          <w:b/>
          <w:sz w:val="24"/>
        </w:rPr>
        <w:t xml:space="preserve"> MADDE 6- </w:t>
      </w:r>
      <w:proofErr w:type="spellStart"/>
      <w:r>
        <w:rPr>
          <w:sz w:val="24"/>
        </w:rPr>
        <w:t>Üniversitemizin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</w:t>
      </w:r>
      <w:r>
        <w:rPr>
          <w:sz w:val="24"/>
        </w:rPr>
        <w:t>demik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14:paraId="43C76CFF" w14:textId="77777777" w:rsidR="00BC5583" w:rsidRDefault="00BC5583" w:rsidP="007200C6">
      <w:pPr>
        <w:pStyle w:val="GvdeMetni"/>
        <w:spacing w:before="7"/>
        <w:ind w:left="0"/>
        <w:rPr>
          <w:sz w:val="27"/>
        </w:rPr>
      </w:pPr>
    </w:p>
    <w:p w14:paraId="54AD3DA4" w14:textId="77777777" w:rsidR="00BC5583" w:rsidRDefault="00EC7926" w:rsidP="007200C6">
      <w:pPr>
        <w:pStyle w:val="Balk1"/>
        <w:ind w:left="0"/>
        <w:jc w:val="both"/>
      </w:pP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araştırmasının</w:t>
      </w:r>
      <w:proofErr w:type="spellEnd"/>
      <w:r>
        <w:t xml:space="preserve"> </w:t>
      </w:r>
      <w:proofErr w:type="spellStart"/>
      <w:r>
        <w:t>yenilenmesi</w:t>
      </w:r>
      <w:proofErr w:type="spellEnd"/>
    </w:p>
    <w:p w14:paraId="15228F9A" w14:textId="77777777" w:rsidR="00BC5583" w:rsidRDefault="00EC7926" w:rsidP="007200C6">
      <w:pPr>
        <w:pStyle w:val="GvdeMetni"/>
        <w:spacing w:line="276" w:lineRule="auto"/>
        <w:ind w:left="0"/>
      </w:pPr>
      <w:r>
        <w:rPr>
          <w:b/>
        </w:rPr>
        <w:t xml:space="preserve">MADDE 7-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atamaya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amirin</w:t>
      </w:r>
      <w:proofErr w:type="spellEnd"/>
      <w:r>
        <w:t xml:space="preserve"> </w:t>
      </w:r>
      <w:proofErr w:type="spellStart"/>
      <w:r>
        <w:t>talebi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araştırmasının</w:t>
      </w:r>
      <w:proofErr w:type="spellEnd"/>
      <w:r>
        <w:t xml:space="preserve"> </w:t>
      </w:r>
      <w:proofErr w:type="spellStart"/>
      <w:r>
        <w:t>yenilenmesi</w:t>
      </w:r>
      <w:proofErr w:type="spellEnd"/>
      <w:r>
        <w:t xml:space="preserve"> </w:t>
      </w:r>
      <w:proofErr w:type="spellStart"/>
      <w:r>
        <w:t>istenebilir</w:t>
      </w:r>
      <w:proofErr w:type="spellEnd"/>
      <w:r>
        <w:t>.</w:t>
      </w:r>
    </w:p>
    <w:p w14:paraId="69EBC44F" w14:textId="77777777" w:rsidR="00BC5583" w:rsidRDefault="00BC5583" w:rsidP="007200C6">
      <w:pPr>
        <w:pStyle w:val="GvdeMetni"/>
        <w:spacing w:before="7"/>
        <w:ind w:left="0"/>
        <w:rPr>
          <w:sz w:val="27"/>
        </w:rPr>
      </w:pPr>
    </w:p>
    <w:p w14:paraId="14D701D7" w14:textId="77777777" w:rsidR="00BC5583" w:rsidRDefault="00EC7926" w:rsidP="007200C6">
      <w:pPr>
        <w:pStyle w:val="Balk1"/>
        <w:ind w:left="0"/>
      </w:pPr>
      <w:proofErr w:type="spellStart"/>
      <w:r>
        <w:t>Sorumluluk</w:t>
      </w:r>
      <w:proofErr w:type="spellEnd"/>
    </w:p>
    <w:p w14:paraId="176E413E" w14:textId="77777777" w:rsidR="00BC5583" w:rsidRDefault="00EC7926" w:rsidP="007200C6">
      <w:pPr>
        <w:pStyle w:val="GvdeMetni"/>
        <w:spacing w:before="42" w:line="276" w:lineRule="auto"/>
        <w:ind w:left="0"/>
      </w:pPr>
      <w:r>
        <w:rPr>
          <w:b/>
        </w:rPr>
        <w:t xml:space="preserve">MADDE 8-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</w:t>
      </w:r>
      <w:r>
        <w:t>unda</w:t>
      </w:r>
      <w:proofErr w:type="spellEnd"/>
      <w:r>
        <w:t xml:space="preserve"> </w:t>
      </w:r>
      <w:proofErr w:type="spellStart"/>
      <w:r>
        <w:t>Rektörlüğümüz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7BC99A79" w14:textId="77777777" w:rsidR="00BC5583" w:rsidRDefault="00BC5583" w:rsidP="007200C6">
      <w:pPr>
        <w:pStyle w:val="GvdeMetni"/>
        <w:spacing w:before="6"/>
        <w:ind w:left="0"/>
        <w:rPr>
          <w:sz w:val="27"/>
        </w:rPr>
      </w:pPr>
    </w:p>
    <w:p w14:paraId="00380195" w14:textId="77777777" w:rsidR="00BC5583" w:rsidRDefault="00EC7926" w:rsidP="007200C6">
      <w:pPr>
        <w:pStyle w:val="Balk1"/>
        <w:ind w:left="0"/>
        <w:jc w:val="both"/>
      </w:pPr>
      <w:proofErr w:type="spellStart"/>
      <w:r>
        <w:t>Gizlilik</w:t>
      </w:r>
      <w:proofErr w:type="spellEnd"/>
      <w:r>
        <w:t xml:space="preserve"> </w:t>
      </w:r>
      <w:proofErr w:type="spellStart"/>
      <w:r>
        <w:t>İlkesine</w:t>
      </w:r>
      <w:proofErr w:type="spellEnd"/>
      <w:r>
        <w:t xml:space="preserve"> </w:t>
      </w:r>
      <w:proofErr w:type="spellStart"/>
      <w:r>
        <w:t>Uyma</w:t>
      </w:r>
      <w:proofErr w:type="spellEnd"/>
    </w:p>
    <w:p w14:paraId="7FA15AB6" w14:textId="77777777" w:rsidR="00BC5583" w:rsidRDefault="00EC7926" w:rsidP="007200C6">
      <w:pPr>
        <w:pStyle w:val="GvdeMetni"/>
        <w:spacing w:before="42" w:line="276" w:lineRule="auto"/>
        <w:ind w:left="0" w:right="109"/>
        <w:jc w:val="both"/>
      </w:pPr>
      <w:r>
        <w:rPr>
          <w:b/>
        </w:rPr>
        <w:t xml:space="preserve">MADDE 9-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araştırmasının</w:t>
      </w:r>
      <w:proofErr w:type="spellEnd"/>
      <w:r>
        <w:t xml:space="preserve"> her </w:t>
      </w:r>
      <w:proofErr w:type="spellStart"/>
      <w:r>
        <w:t>safhasında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gizliliğe</w:t>
      </w:r>
      <w:proofErr w:type="spellEnd"/>
      <w:r>
        <w:t xml:space="preserve"> </w:t>
      </w:r>
      <w:proofErr w:type="spellStart"/>
      <w:r>
        <w:t>uyulur</w:t>
      </w:r>
      <w:proofErr w:type="spellEnd"/>
      <w:r>
        <w:t xml:space="preserve">.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, </w:t>
      </w:r>
      <w:proofErr w:type="spellStart"/>
      <w:r>
        <w:t>bilmesi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yetkililer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başkası</w:t>
      </w:r>
      <w:r>
        <w:t>na</w:t>
      </w:r>
      <w:proofErr w:type="spellEnd"/>
      <w:r>
        <w:t xml:space="preserve"> </w:t>
      </w:r>
      <w:proofErr w:type="spellStart"/>
      <w:r>
        <w:t>açıklanamaz</w:t>
      </w:r>
      <w:proofErr w:type="spellEnd"/>
      <w:r>
        <w:t xml:space="preserve">. </w:t>
      </w:r>
      <w:proofErr w:type="spellStart"/>
      <w:r>
        <w:t>Açıklanması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6C21F10D" w14:textId="77777777" w:rsidR="00BC5583" w:rsidRDefault="00BC5583" w:rsidP="007200C6">
      <w:pPr>
        <w:pStyle w:val="GvdeMetni"/>
        <w:spacing w:before="7"/>
        <w:ind w:left="0"/>
        <w:rPr>
          <w:sz w:val="27"/>
        </w:rPr>
      </w:pPr>
    </w:p>
    <w:p w14:paraId="6D296E64" w14:textId="77777777" w:rsidR="00BC5583" w:rsidRDefault="00EC7926" w:rsidP="007200C6">
      <w:pPr>
        <w:pStyle w:val="Balk1"/>
        <w:ind w:left="0"/>
        <w:jc w:val="both"/>
      </w:pP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Araştırmasında</w:t>
      </w:r>
      <w:proofErr w:type="spellEnd"/>
      <w:r>
        <w:t xml:space="preserve"> </w:t>
      </w:r>
      <w:proofErr w:type="spellStart"/>
      <w:r>
        <w:t>İzlenecek</w:t>
      </w:r>
      <w:proofErr w:type="spellEnd"/>
      <w:r>
        <w:t xml:space="preserve"> </w:t>
      </w:r>
      <w:proofErr w:type="spellStart"/>
      <w:r>
        <w:t>Usul</w:t>
      </w:r>
      <w:proofErr w:type="spellEnd"/>
    </w:p>
    <w:p w14:paraId="697CD71B" w14:textId="77777777" w:rsidR="00BC5583" w:rsidRDefault="00EC7926" w:rsidP="007200C6">
      <w:pPr>
        <w:pStyle w:val="GvdeMetni"/>
        <w:spacing w:line="273" w:lineRule="auto"/>
        <w:ind w:left="0" w:right="110"/>
        <w:jc w:val="both"/>
      </w:pPr>
      <w:r>
        <w:rPr>
          <w:b/>
        </w:rPr>
        <w:t>MADDE 10</w:t>
      </w:r>
      <w:r>
        <w:rPr>
          <w:rFonts w:ascii="Calibri" w:hAnsi="Calibri"/>
          <w:sz w:val="22"/>
        </w:rPr>
        <w:t xml:space="preserve">-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Adli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İstatistik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,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örneği</w:t>
      </w:r>
      <w:proofErr w:type="spellEnd"/>
      <w:r>
        <w:rPr>
          <w:spacing w:val="-3"/>
        </w:rP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yürürlükte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Yönetmeliği’nde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rPr>
          <w:spacing w:val="-3"/>
        </w:rPr>
        <w:t>edi</w:t>
      </w:r>
      <w:r>
        <w:rPr>
          <w:spacing w:val="-3"/>
        </w:rPr>
        <w:t>len</w:t>
      </w:r>
      <w:proofErr w:type="spellEnd"/>
      <w:r>
        <w:rPr>
          <w:spacing w:val="-3"/>
        </w:rPr>
        <w:t xml:space="preserve"> </w:t>
      </w:r>
      <w:r>
        <w:t xml:space="preserve">form,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noksansız</w:t>
      </w:r>
      <w:proofErr w:type="spellEnd"/>
      <w:r>
        <w:t xml:space="preserve"> </w:t>
      </w:r>
      <w:proofErr w:type="spellStart"/>
      <w:r>
        <w:t>doldurulur</w:t>
      </w:r>
      <w:proofErr w:type="spellEnd"/>
      <w:r>
        <w:t>.</w:t>
      </w:r>
    </w:p>
    <w:p w14:paraId="75550C7C" w14:textId="77777777" w:rsidR="00BC5583" w:rsidRDefault="00BC5583" w:rsidP="007200C6">
      <w:pPr>
        <w:pStyle w:val="GvdeMetni"/>
        <w:spacing w:before="11"/>
        <w:ind w:left="0"/>
        <w:rPr>
          <w:sz w:val="27"/>
        </w:rPr>
      </w:pPr>
    </w:p>
    <w:p w14:paraId="5ACCDD8B" w14:textId="77777777" w:rsidR="00BC5583" w:rsidRDefault="00EC7926" w:rsidP="007200C6">
      <w:pPr>
        <w:pStyle w:val="Balk1"/>
        <w:ind w:left="0"/>
      </w:pPr>
      <w:proofErr w:type="spellStart"/>
      <w:r>
        <w:t>Değerlendirme</w:t>
      </w:r>
      <w:proofErr w:type="spellEnd"/>
    </w:p>
    <w:p w14:paraId="005BF7F0" w14:textId="77777777" w:rsidR="00BC5583" w:rsidRDefault="00EC7926" w:rsidP="007200C6">
      <w:pPr>
        <w:pStyle w:val="GvdeMetni"/>
        <w:spacing w:line="276" w:lineRule="auto"/>
        <w:ind w:left="0" w:right="110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11-</w:t>
      </w:r>
      <w:r>
        <w:t xml:space="preserve">Üniversite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yaptırılan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gizlilik</w:t>
      </w:r>
      <w:proofErr w:type="spellEnd"/>
      <w:r>
        <w:t xml:space="preserve"> </w:t>
      </w:r>
      <w:proofErr w:type="spellStart"/>
      <w:r>
        <w:t>dereceli</w:t>
      </w:r>
      <w:proofErr w:type="spellEnd"/>
      <w:r>
        <w:t xml:space="preserve"> </w:t>
      </w:r>
      <w:proofErr w:type="spellStart"/>
      <w:r>
        <w:t>bir</w:t>
      </w:r>
      <w:r>
        <w:t>imlerde</w:t>
      </w:r>
      <w:proofErr w:type="spellEnd"/>
      <w:r>
        <w:t xml:space="preserve"> </w:t>
      </w:r>
      <w:proofErr w:type="spellStart"/>
      <w:r>
        <w:t>çalıştırıp</w:t>
      </w:r>
      <w:proofErr w:type="spellEnd"/>
      <w:r>
        <w:t xml:space="preserve"> </w:t>
      </w:r>
      <w:proofErr w:type="spellStart"/>
      <w:r>
        <w:t>çalıştırılmamaları</w:t>
      </w:r>
      <w:proofErr w:type="spellEnd"/>
      <w:r>
        <w:t xml:space="preserve">, </w:t>
      </w:r>
      <w:proofErr w:type="spellStart"/>
      <w:r>
        <w:t>yer</w:t>
      </w:r>
      <w:proofErr w:type="spellEnd"/>
      <w:r>
        <w:t xml:space="preserve"> </w:t>
      </w:r>
      <w:proofErr w:type="spellStart"/>
      <w:r>
        <w:t>değiştirerek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görevlere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etmemeleri</w:t>
      </w:r>
      <w:proofErr w:type="spellEnd"/>
      <w:r>
        <w:t xml:space="preserve"> </w:t>
      </w:r>
      <w:proofErr w:type="spellStart"/>
      <w:r>
        <w:rPr>
          <w:spacing w:val="-4"/>
        </w:rPr>
        <w:t>gibi</w:t>
      </w:r>
      <w:proofErr w:type="spellEnd"/>
      <w:r>
        <w:rPr>
          <w:spacing w:val="52"/>
        </w:rPr>
        <w:t xml:space="preserve"> </w:t>
      </w:r>
      <w:proofErr w:type="spellStart"/>
      <w:r>
        <w:t>hususları</w:t>
      </w:r>
      <w:proofErr w:type="spellEnd"/>
      <w:r>
        <w:t xml:space="preserve"> </w:t>
      </w:r>
      <w:proofErr w:type="spellStart"/>
      <w:r>
        <w:t>incelemek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,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Rektör</w:t>
      </w:r>
      <w:proofErr w:type="spellEnd"/>
      <w:r>
        <w:t xml:space="preserve"> </w:t>
      </w:r>
      <w:proofErr w:type="spellStart"/>
      <w:r>
        <w:t>Başkanlığında</w:t>
      </w:r>
      <w:proofErr w:type="spellEnd"/>
      <w:r>
        <w:t xml:space="preserve">,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Rektör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,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Sekreter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Müş</w:t>
      </w:r>
      <w:r>
        <w:t>aviri’nden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“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” </w:t>
      </w:r>
      <w:proofErr w:type="spellStart"/>
      <w:r>
        <w:t>kurulur</w:t>
      </w:r>
      <w:proofErr w:type="spellEnd"/>
      <w:r>
        <w:t xml:space="preserve">.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üyelerinden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incelemeye</w:t>
      </w:r>
      <w:proofErr w:type="spellEnd"/>
      <w:r>
        <w:t xml:space="preserve"> o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katılamaz</w:t>
      </w:r>
      <w:proofErr w:type="spellEnd"/>
      <w:r>
        <w:t xml:space="preserve">. </w:t>
      </w:r>
      <w:proofErr w:type="spellStart"/>
      <w:r>
        <w:t>Değerleme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tutanakları</w:t>
      </w:r>
      <w:proofErr w:type="spellEnd"/>
      <w:r>
        <w:t xml:space="preserve"> </w:t>
      </w:r>
      <w:proofErr w:type="spellStart"/>
      <w:r>
        <w:rPr>
          <w:spacing w:val="-8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t>kararları</w:t>
      </w:r>
      <w:proofErr w:type="spellEnd"/>
      <w:r>
        <w:t xml:space="preserve"> </w:t>
      </w:r>
      <w:proofErr w:type="spellStart"/>
      <w:r>
        <w:t>gizlidir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birimlerden</w:t>
      </w:r>
      <w:proofErr w:type="spellEnd"/>
      <w:r>
        <w:t xml:space="preserve"> </w:t>
      </w:r>
      <w:proofErr w:type="spellStart"/>
      <w:r>
        <w:t>Kuruma</w:t>
      </w:r>
      <w:proofErr w:type="spellEnd"/>
      <w:r>
        <w:t xml:space="preserve"> </w:t>
      </w:r>
      <w:proofErr w:type="spellStart"/>
      <w:r>
        <w:t>ulaşan</w:t>
      </w:r>
      <w:proofErr w:type="spellEnd"/>
      <w:r>
        <w:t xml:space="preserve"> PVSK Ek-7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istihbarı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ilgiliye</w:t>
      </w:r>
      <w:proofErr w:type="spellEnd"/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edildikten</w:t>
      </w:r>
      <w:proofErr w:type="spellEnd"/>
      <w:r>
        <w:t xml:space="preserve"> 60 </w:t>
      </w:r>
      <w:r>
        <w:rPr>
          <w:spacing w:val="-3"/>
        </w:rPr>
        <w:t>(</w:t>
      </w:r>
      <w:proofErr w:type="spellStart"/>
      <w:r>
        <w:rPr>
          <w:spacing w:val="-3"/>
        </w:rPr>
        <w:t>altmış</w:t>
      </w:r>
      <w:proofErr w:type="spellEnd"/>
      <w:r>
        <w:rPr>
          <w:spacing w:val="-3"/>
        </w:rPr>
        <w:t xml:space="preserve">)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rPr>
          <w:spacing w:val="-3"/>
        </w:rPr>
        <w:t>alınır</w:t>
      </w:r>
      <w:proofErr w:type="spellEnd"/>
      <w:r>
        <w:rPr>
          <w:spacing w:val="-3"/>
        </w:rP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nitelikteki</w:t>
      </w:r>
      <w:proofErr w:type="spellEnd"/>
      <w:r>
        <w:t xml:space="preserve"> </w:t>
      </w:r>
      <w:proofErr w:type="spellStart"/>
      <w:r>
        <w:t>imhaya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isti</w:t>
      </w:r>
      <w:r>
        <w:t>hbari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saatte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de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,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>.</w:t>
      </w:r>
    </w:p>
    <w:p w14:paraId="63436EE1" w14:textId="77777777" w:rsidR="00BC5583" w:rsidRDefault="00BC5583" w:rsidP="007200C6">
      <w:pPr>
        <w:spacing w:line="276" w:lineRule="auto"/>
        <w:jc w:val="both"/>
        <w:sectPr w:rsidR="00BC5583" w:rsidSect="009B2B37">
          <w:pgSz w:w="11900" w:h="16820"/>
          <w:pgMar w:top="1340" w:right="843" w:bottom="1160" w:left="1300" w:header="0" w:footer="979" w:gutter="0"/>
          <w:cols w:space="708"/>
        </w:sectPr>
      </w:pPr>
    </w:p>
    <w:p w14:paraId="2D018C87" w14:textId="77777777" w:rsidR="00BC5583" w:rsidRDefault="00EC7926" w:rsidP="007200C6">
      <w:pPr>
        <w:pStyle w:val="Balk1"/>
        <w:spacing w:before="77"/>
        <w:ind w:left="0"/>
        <w:jc w:val="both"/>
      </w:pPr>
      <w:proofErr w:type="spellStart"/>
      <w:r>
        <w:lastRenderedPageBreak/>
        <w:t>Diğer</w:t>
      </w:r>
      <w:proofErr w:type="spellEnd"/>
      <w:r>
        <w:t xml:space="preserve"> </w:t>
      </w:r>
      <w:proofErr w:type="spellStart"/>
      <w:r>
        <w:t>Hususlar</w:t>
      </w:r>
      <w:proofErr w:type="spellEnd"/>
    </w:p>
    <w:p w14:paraId="2F78D04A" w14:textId="77777777" w:rsidR="00BC5583" w:rsidRDefault="00EC7926" w:rsidP="007200C6">
      <w:pPr>
        <w:pStyle w:val="GvdeMetni"/>
        <w:spacing w:line="276" w:lineRule="auto"/>
        <w:ind w:left="0" w:right="110"/>
        <w:jc w:val="both"/>
      </w:pPr>
      <w:r>
        <w:rPr>
          <w:b/>
        </w:rPr>
        <w:t xml:space="preserve">MADDE 12-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soruşturmasını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makamların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</w:t>
      </w:r>
      <w:r>
        <w:t>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araştırılacak</w:t>
      </w:r>
      <w:proofErr w:type="spellEnd"/>
      <w:r>
        <w:t xml:space="preserve"> </w:t>
      </w:r>
      <w:proofErr w:type="spellStart"/>
      <w:r>
        <w:t>hususların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izlenecek</w:t>
      </w:r>
      <w:proofErr w:type="spellEnd"/>
      <w:r>
        <w:t xml:space="preserve"> </w:t>
      </w:r>
      <w:proofErr w:type="spellStart"/>
      <w:r>
        <w:t>yöntemin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akabinde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sonuçlarının</w:t>
      </w:r>
      <w:proofErr w:type="spellEnd"/>
      <w:r>
        <w:t xml:space="preserve"> </w:t>
      </w:r>
      <w:proofErr w:type="spellStart"/>
      <w:r>
        <w:t>değerlendirilmesinde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Yönergeye</w:t>
      </w:r>
      <w:proofErr w:type="spellEnd"/>
      <w:r>
        <w:t xml:space="preserve"> </w:t>
      </w:r>
      <w:proofErr w:type="spellStart"/>
      <w:r>
        <w:t>dayanak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>.</w:t>
      </w:r>
    </w:p>
    <w:p w14:paraId="48DB7808" w14:textId="77777777" w:rsidR="00BC5583" w:rsidRDefault="00BC5583" w:rsidP="007200C6">
      <w:pPr>
        <w:pStyle w:val="GvdeMetni"/>
        <w:spacing w:before="7"/>
        <w:ind w:left="0"/>
        <w:rPr>
          <w:sz w:val="27"/>
        </w:rPr>
      </w:pPr>
    </w:p>
    <w:p w14:paraId="269899E2" w14:textId="77777777" w:rsidR="00BC5583" w:rsidRDefault="00EC7926" w:rsidP="007200C6">
      <w:pPr>
        <w:pStyle w:val="Balk1"/>
        <w:ind w:left="0"/>
        <w:jc w:val="both"/>
      </w:pP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Haller</w:t>
      </w:r>
    </w:p>
    <w:p w14:paraId="475437D0" w14:textId="77777777" w:rsidR="00BC5583" w:rsidRDefault="00EC7926" w:rsidP="007200C6">
      <w:pPr>
        <w:pStyle w:val="GvdeMetni"/>
        <w:spacing w:line="276" w:lineRule="auto"/>
        <w:ind w:left="0" w:right="110"/>
        <w:jc w:val="both"/>
      </w:pPr>
      <w:r>
        <w:rPr>
          <w:b/>
        </w:rPr>
        <w:t>MADDE 13</w:t>
      </w:r>
      <w:r>
        <w:t xml:space="preserve">- Bu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, 12/04/2000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24018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Resmî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Soruşturması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04EDEFB2" w14:textId="77777777" w:rsidR="00BC5583" w:rsidRDefault="00BC5583" w:rsidP="007200C6">
      <w:pPr>
        <w:pStyle w:val="GvdeMetni"/>
        <w:spacing w:before="7"/>
        <w:ind w:left="0"/>
        <w:rPr>
          <w:sz w:val="27"/>
        </w:rPr>
      </w:pPr>
    </w:p>
    <w:p w14:paraId="37113DEE" w14:textId="77777777" w:rsidR="00BC5583" w:rsidRDefault="00EC7926" w:rsidP="007200C6">
      <w:pPr>
        <w:pStyle w:val="Balk1"/>
        <w:ind w:left="0"/>
      </w:pPr>
      <w:proofErr w:type="spellStart"/>
      <w:r>
        <w:t>Yürürlük</w:t>
      </w:r>
      <w:proofErr w:type="spellEnd"/>
    </w:p>
    <w:p w14:paraId="2B81AB21" w14:textId="77777777" w:rsidR="00BC5583" w:rsidRDefault="00EC7926" w:rsidP="007200C6">
      <w:pPr>
        <w:pStyle w:val="GvdeMetni"/>
        <w:spacing w:before="42" w:line="276" w:lineRule="auto"/>
        <w:ind w:left="0" w:right="516"/>
      </w:pPr>
      <w:r>
        <w:rPr>
          <w:b/>
        </w:rPr>
        <w:t xml:space="preserve">MADDE 14-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</w:t>
      </w:r>
      <w:proofErr w:type="spellEnd"/>
      <w:r>
        <w:t xml:space="preserve"> </w:t>
      </w:r>
      <w:proofErr w:type="spellStart"/>
      <w:r>
        <w:t>ta</w:t>
      </w:r>
      <w:r>
        <w:t>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edilip</w:t>
      </w:r>
      <w:proofErr w:type="spellEnd"/>
      <w:r>
        <w:t xml:space="preserve"> </w:t>
      </w:r>
      <w:proofErr w:type="spellStart"/>
      <w:r>
        <w:t>yayınlandığı</w:t>
      </w:r>
      <w:proofErr w:type="spellEnd"/>
      <w:r>
        <w:t xml:space="preserve"> </w:t>
      </w:r>
      <w:proofErr w:type="spellStart"/>
      <w:r>
        <w:t>tarihte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288ED866" w14:textId="77777777" w:rsidR="00BC5583" w:rsidRDefault="00BC5583" w:rsidP="007200C6">
      <w:pPr>
        <w:pStyle w:val="GvdeMetni"/>
        <w:spacing w:before="6"/>
        <w:ind w:left="0"/>
        <w:rPr>
          <w:sz w:val="27"/>
        </w:rPr>
      </w:pPr>
    </w:p>
    <w:p w14:paraId="0B107881" w14:textId="77777777" w:rsidR="00BC5583" w:rsidRDefault="00EC7926" w:rsidP="007200C6">
      <w:pPr>
        <w:pStyle w:val="Balk1"/>
        <w:spacing w:before="1"/>
        <w:ind w:left="0"/>
      </w:pPr>
      <w:proofErr w:type="spellStart"/>
      <w:r>
        <w:t>Yürütme</w:t>
      </w:r>
      <w:proofErr w:type="spellEnd"/>
    </w:p>
    <w:p w14:paraId="11EBB03A" w14:textId="77777777" w:rsidR="00BC5583" w:rsidRDefault="00EC7926" w:rsidP="007200C6">
      <w:pPr>
        <w:pStyle w:val="GvdeMetni"/>
        <w:ind w:left="0"/>
      </w:pPr>
      <w:r>
        <w:rPr>
          <w:b/>
        </w:rPr>
        <w:t xml:space="preserve">MADDE 15-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.</w:t>
      </w:r>
    </w:p>
    <w:sectPr w:rsidR="00BC5583" w:rsidSect="009B2B37">
      <w:pgSz w:w="11900" w:h="16820"/>
      <w:pgMar w:top="1340" w:right="843" w:bottom="1160" w:left="1300" w:header="0" w:footer="9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3278" w14:textId="77777777" w:rsidR="00EC7926" w:rsidRDefault="00EC7926">
      <w:r>
        <w:separator/>
      </w:r>
    </w:p>
  </w:endnote>
  <w:endnote w:type="continuationSeparator" w:id="0">
    <w:p w14:paraId="59434070" w14:textId="77777777" w:rsidR="00EC7926" w:rsidRDefault="00EC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FC18" w14:textId="42B9A0CE" w:rsidR="00BC5583" w:rsidRDefault="009B2B37">
    <w:pPr>
      <w:pStyle w:val="GvdeMetni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9C958B" wp14:editId="4C2857B5">
              <wp:simplePos x="0" y="0"/>
              <wp:positionH relativeFrom="page">
                <wp:posOffset>3706495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1AD2A" w14:textId="77777777" w:rsidR="00BC5583" w:rsidRDefault="00EC792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C95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1.0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ZX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" filled="f" stroked="f">
              <v:textbox inset="0,0,0,0">
                <w:txbxContent>
                  <w:p w14:paraId="7921AD2A" w14:textId="77777777" w:rsidR="00BC5583" w:rsidRDefault="00EC792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082F" w14:textId="77777777" w:rsidR="00EC7926" w:rsidRDefault="00EC7926">
      <w:r>
        <w:separator/>
      </w:r>
    </w:p>
  </w:footnote>
  <w:footnote w:type="continuationSeparator" w:id="0">
    <w:p w14:paraId="7877C3C7" w14:textId="77777777" w:rsidR="00EC7926" w:rsidRDefault="00EC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175C"/>
    <w:multiLevelType w:val="hybridMultilevel"/>
    <w:tmpl w:val="D5A259A4"/>
    <w:lvl w:ilvl="0" w:tplc="8348C884">
      <w:start w:val="1"/>
      <w:numFmt w:val="lowerLetter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1CC02DE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69600A9C">
      <w:numFmt w:val="bullet"/>
      <w:lvlText w:val="•"/>
      <w:lvlJc w:val="left"/>
      <w:pPr>
        <w:ind w:left="2164" w:hanging="260"/>
      </w:pPr>
      <w:rPr>
        <w:rFonts w:hint="default"/>
      </w:rPr>
    </w:lvl>
    <w:lvl w:ilvl="3" w:tplc="78CA5136">
      <w:numFmt w:val="bullet"/>
      <w:lvlText w:val="•"/>
      <w:lvlJc w:val="left"/>
      <w:pPr>
        <w:ind w:left="3056" w:hanging="260"/>
      </w:pPr>
      <w:rPr>
        <w:rFonts w:hint="default"/>
      </w:rPr>
    </w:lvl>
    <w:lvl w:ilvl="4" w:tplc="F2CE47C6">
      <w:numFmt w:val="bullet"/>
      <w:lvlText w:val="•"/>
      <w:lvlJc w:val="left"/>
      <w:pPr>
        <w:ind w:left="3948" w:hanging="260"/>
      </w:pPr>
      <w:rPr>
        <w:rFonts w:hint="default"/>
      </w:rPr>
    </w:lvl>
    <w:lvl w:ilvl="5" w:tplc="077A2620">
      <w:numFmt w:val="bullet"/>
      <w:lvlText w:val="•"/>
      <w:lvlJc w:val="left"/>
      <w:pPr>
        <w:ind w:left="4840" w:hanging="260"/>
      </w:pPr>
      <w:rPr>
        <w:rFonts w:hint="default"/>
      </w:rPr>
    </w:lvl>
    <w:lvl w:ilvl="6" w:tplc="126CFD30">
      <w:numFmt w:val="bullet"/>
      <w:lvlText w:val="•"/>
      <w:lvlJc w:val="left"/>
      <w:pPr>
        <w:ind w:left="5732" w:hanging="260"/>
      </w:pPr>
      <w:rPr>
        <w:rFonts w:hint="default"/>
      </w:rPr>
    </w:lvl>
    <w:lvl w:ilvl="7" w:tplc="E85EEB22">
      <w:numFmt w:val="bullet"/>
      <w:lvlText w:val="•"/>
      <w:lvlJc w:val="left"/>
      <w:pPr>
        <w:ind w:left="6624" w:hanging="260"/>
      </w:pPr>
      <w:rPr>
        <w:rFonts w:hint="default"/>
      </w:rPr>
    </w:lvl>
    <w:lvl w:ilvl="8" w:tplc="406A6CCE">
      <w:numFmt w:val="bullet"/>
      <w:lvlText w:val="•"/>
      <w:lvlJc w:val="left"/>
      <w:pPr>
        <w:ind w:left="7516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83"/>
    <w:rsid w:val="007200C6"/>
    <w:rsid w:val="009B2B37"/>
    <w:rsid w:val="00BC5583"/>
    <w:rsid w:val="00E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7616D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3</cp:revision>
  <dcterms:created xsi:type="dcterms:W3CDTF">2021-11-08T11:30:00Z</dcterms:created>
  <dcterms:modified xsi:type="dcterms:W3CDTF">2021-11-08T11:31:00Z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2019-01-29T00:00:00Z</vt:filetime>
  </property>
</Properties>
</file>