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DDC0" w14:textId="697FDEB2" w:rsidR="005546AB" w:rsidRDefault="005546AB">
      <w:pPr>
        <w:pStyle w:val="GvdeMetni"/>
        <w:spacing w:before="2"/>
        <w:rPr>
          <w:b/>
          <w:sz w:val="28"/>
        </w:rPr>
      </w:pPr>
    </w:p>
    <w:p w14:paraId="698F4B99" w14:textId="39540CDE" w:rsidR="005546AB" w:rsidRDefault="005546AB">
      <w:pPr>
        <w:pStyle w:val="GvdeMetni"/>
        <w:spacing w:before="2"/>
        <w:rPr>
          <w:b/>
          <w:sz w:val="28"/>
        </w:rPr>
      </w:pPr>
    </w:p>
    <w:tbl>
      <w:tblPr>
        <w:tblStyle w:val="TableNormal"/>
        <w:tblW w:w="9777"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4233"/>
        <w:gridCol w:w="1843"/>
        <w:gridCol w:w="2000"/>
      </w:tblGrid>
      <w:tr w:rsidR="005546AB" w:rsidRPr="008E10A5" w14:paraId="318A9EBE" w14:textId="77777777" w:rsidTr="005546AB">
        <w:trPr>
          <w:trHeight w:val="195"/>
        </w:trPr>
        <w:tc>
          <w:tcPr>
            <w:tcW w:w="1701" w:type="dxa"/>
            <w:vMerge w:val="restart"/>
            <w:tcBorders>
              <w:top w:val="single" w:sz="4" w:space="0" w:color="auto"/>
              <w:left w:val="single" w:sz="4" w:space="0" w:color="auto"/>
              <w:right w:val="single" w:sz="6" w:space="0" w:color="000000"/>
            </w:tcBorders>
          </w:tcPr>
          <w:p w14:paraId="22F25F84" w14:textId="10E7549C" w:rsidR="005546AB" w:rsidRDefault="005546AB" w:rsidP="00D11086">
            <w:pPr>
              <w:pStyle w:val="TableParagraph"/>
              <w:spacing w:before="2"/>
              <w:rPr>
                <w:rFonts w:ascii="Times New Roman"/>
                <w:sz w:val="8"/>
              </w:rPr>
            </w:pPr>
          </w:p>
          <w:p w14:paraId="47470FBD" w14:textId="15A5AD94" w:rsidR="005546AB" w:rsidRDefault="005546AB" w:rsidP="00D11086">
            <w:pPr>
              <w:pStyle w:val="TableParagraph"/>
              <w:ind w:left="323"/>
              <w:rPr>
                <w:rFonts w:ascii="Times New Roman"/>
                <w:sz w:val="20"/>
              </w:rPr>
            </w:pPr>
            <w:r>
              <w:rPr>
                <w:rFonts w:ascii="Times New Roman"/>
                <w:noProof/>
                <w:sz w:val="20"/>
              </w:rPr>
              <w:drawing>
                <wp:anchor distT="0" distB="0" distL="114300" distR="114300" simplePos="0" relativeHeight="251663872" behindDoc="1" locked="0" layoutInCell="1" allowOverlap="1" wp14:anchorId="562B06CD" wp14:editId="7080795C">
                  <wp:simplePos x="0" y="0"/>
                  <wp:positionH relativeFrom="column">
                    <wp:posOffset>25400</wp:posOffset>
                  </wp:positionH>
                  <wp:positionV relativeFrom="paragraph">
                    <wp:posOffset>9525</wp:posOffset>
                  </wp:positionV>
                  <wp:extent cx="990600" cy="971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71550"/>
                          </a:xfrm>
                          <a:prstGeom prst="rect">
                            <a:avLst/>
                          </a:prstGeom>
                        </pic:spPr>
                      </pic:pic>
                    </a:graphicData>
                  </a:graphic>
                  <wp14:sizeRelH relativeFrom="margin">
                    <wp14:pctWidth>0</wp14:pctWidth>
                  </wp14:sizeRelH>
                  <wp14:sizeRelV relativeFrom="margin">
                    <wp14:pctHeight>0</wp14:pctHeight>
                  </wp14:sizeRelV>
                </wp:anchor>
              </w:drawing>
            </w:r>
          </w:p>
        </w:tc>
        <w:tc>
          <w:tcPr>
            <w:tcW w:w="4233" w:type="dxa"/>
            <w:vMerge w:val="restart"/>
            <w:tcBorders>
              <w:top w:val="single" w:sz="4" w:space="0" w:color="auto"/>
              <w:left w:val="single" w:sz="6" w:space="0" w:color="000000"/>
              <w:right w:val="single" w:sz="6" w:space="0" w:color="000000"/>
            </w:tcBorders>
            <w:vAlign w:val="center"/>
          </w:tcPr>
          <w:p w14:paraId="0C3395C3" w14:textId="53F4BC25" w:rsidR="005546AB" w:rsidRPr="005546AB" w:rsidRDefault="005546AB" w:rsidP="00D11086">
            <w:pPr>
              <w:pStyle w:val="TableParagraph"/>
              <w:ind w:left="134" w:right="104"/>
              <w:jc w:val="center"/>
              <w:rPr>
                <w:b/>
                <w:sz w:val="24"/>
                <w:szCs w:val="24"/>
              </w:rPr>
            </w:pPr>
            <w:r w:rsidRPr="005546AB">
              <w:rPr>
                <w:b/>
                <w:sz w:val="24"/>
                <w:szCs w:val="24"/>
              </w:rPr>
              <w:t xml:space="preserve">TNKÜ AVRUPA BİRLİĞİ EĞİTİM VE GENÇLİK PROGRAMLARI ERASMUS PLUS PROGRAMI ANA EYLEM 1-KA1 EĞİTİM VE ÖĞRETİM ALANINDA BİREYLERİN ÖĞRENME HAREKETLİLİĞİ YÖNERGESİ </w:t>
            </w:r>
          </w:p>
        </w:tc>
        <w:tc>
          <w:tcPr>
            <w:tcW w:w="1843" w:type="dxa"/>
            <w:tcBorders>
              <w:top w:val="single" w:sz="4" w:space="0" w:color="auto"/>
              <w:left w:val="single" w:sz="6" w:space="0" w:color="000000"/>
              <w:bottom w:val="single" w:sz="6" w:space="0" w:color="000000"/>
              <w:right w:val="single" w:sz="6" w:space="0" w:color="000000"/>
            </w:tcBorders>
            <w:vAlign w:val="center"/>
          </w:tcPr>
          <w:p w14:paraId="320513FC" w14:textId="77777777" w:rsidR="005546AB" w:rsidRPr="008E10A5" w:rsidRDefault="005546AB" w:rsidP="00D11086">
            <w:pPr>
              <w:pStyle w:val="TableParagraph"/>
              <w:spacing w:before="1" w:line="174" w:lineRule="exact"/>
              <w:ind w:left="34"/>
              <w:rPr>
                <w:rFonts w:ascii="Times New Roman" w:hAnsi="Times New Roman" w:cs="Times New Roman"/>
                <w:sz w:val="20"/>
                <w:szCs w:val="20"/>
              </w:rPr>
            </w:pPr>
            <w:r w:rsidRPr="008E10A5">
              <w:rPr>
                <w:rFonts w:ascii="Times New Roman" w:hAnsi="Times New Roman" w:cs="Times New Roman"/>
                <w:w w:val="105"/>
                <w:sz w:val="20"/>
                <w:szCs w:val="20"/>
              </w:rPr>
              <w:t>Doküman No:</w:t>
            </w:r>
          </w:p>
        </w:tc>
        <w:tc>
          <w:tcPr>
            <w:tcW w:w="2000" w:type="dxa"/>
            <w:tcBorders>
              <w:top w:val="single" w:sz="4" w:space="0" w:color="auto"/>
              <w:left w:val="single" w:sz="6" w:space="0" w:color="000000"/>
              <w:bottom w:val="single" w:sz="6" w:space="0" w:color="000000"/>
              <w:right w:val="single" w:sz="4" w:space="0" w:color="auto"/>
            </w:tcBorders>
            <w:vAlign w:val="center"/>
          </w:tcPr>
          <w:p w14:paraId="07DC8297" w14:textId="335D7C6A" w:rsidR="005546AB" w:rsidRPr="008E10A5" w:rsidRDefault="005546AB" w:rsidP="00D11086">
            <w:pPr>
              <w:pStyle w:val="TableParagraph"/>
              <w:spacing w:line="176" w:lineRule="exact"/>
              <w:ind w:left="0" w:right="446"/>
              <w:rPr>
                <w:rFonts w:ascii="Times New Roman" w:hAnsi="Times New Roman" w:cs="Times New Roman"/>
                <w:sz w:val="20"/>
                <w:szCs w:val="20"/>
              </w:rPr>
            </w:pPr>
            <w:r>
              <w:rPr>
                <w:rFonts w:ascii="Times New Roman" w:hAnsi="Times New Roman" w:cs="Times New Roman"/>
                <w:sz w:val="20"/>
                <w:szCs w:val="20"/>
              </w:rPr>
              <w:t xml:space="preserve"> EYS-YNG-00</w:t>
            </w:r>
            <w:r>
              <w:rPr>
                <w:rFonts w:ascii="Times New Roman" w:hAnsi="Times New Roman" w:cs="Times New Roman"/>
                <w:sz w:val="20"/>
                <w:szCs w:val="20"/>
              </w:rPr>
              <w:t>7</w:t>
            </w:r>
          </w:p>
        </w:tc>
      </w:tr>
      <w:tr w:rsidR="005546AB" w:rsidRPr="008E10A5" w14:paraId="3D696235" w14:textId="77777777" w:rsidTr="005546AB">
        <w:trPr>
          <w:trHeight w:val="195"/>
        </w:trPr>
        <w:tc>
          <w:tcPr>
            <w:tcW w:w="1701" w:type="dxa"/>
            <w:vMerge/>
            <w:tcBorders>
              <w:top w:val="nil"/>
              <w:left w:val="single" w:sz="4" w:space="0" w:color="auto"/>
              <w:right w:val="single" w:sz="6" w:space="0" w:color="000000"/>
            </w:tcBorders>
          </w:tcPr>
          <w:p w14:paraId="2DF8A83B" w14:textId="77777777" w:rsidR="005546AB" w:rsidRDefault="005546AB" w:rsidP="00D11086">
            <w:pPr>
              <w:rPr>
                <w:sz w:val="2"/>
                <w:szCs w:val="2"/>
              </w:rPr>
            </w:pPr>
          </w:p>
        </w:tc>
        <w:tc>
          <w:tcPr>
            <w:tcW w:w="4233" w:type="dxa"/>
            <w:vMerge/>
            <w:tcBorders>
              <w:top w:val="nil"/>
              <w:left w:val="single" w:sz="6" w:space="0" w:color="000000"/>
              <w:right w:val="single" w:sz="6" w:space="0" w:color="000000"/>
            </w:tcBorders>
          </w:tcPr>
          <w:p w14:paraId="375AA4AB" w14:textId="77777777" w:rsidR="005546AB" w:rsidRDefault="005546AB"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B6C07AB" w14:textId="77777777" w:rsidR="005546AB" w:rsidRPr="008E10A5" w:rsidRDefault="005546AB" w:rsidP="00D1108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Hazırlama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6A6EF2E6" w14:textId="77777777" w:rsidR="005546AB" w:rsidRPr="008E10A5" w:rsidRDefault="005546AB" w:rsidP="00D11086">
            <w:pPr>
              <w:pStyle w:val="TableParagraph"/>
              <w:spacing w:line="176" w:lineRule="exact"/>
              <w:ind w:left="0" w:right="446"/>
              <w:rPr>
                <w:rFonts w:ascii="Times New Roman" w:hAnsi="Times New Roman" w:cs="Times New Roman"/>
                <w:sz w:val="20"/>
                <w:szCs w:val="20"/>
              </w:rPr>
            </w:pPr>
            <w:r>
              <w:rPr>
                <w:rFonts w:ascii="Times New Roman" w:hAnsi="Times New Roman" w:cs="Times New Roman"/>
                <w:sz w:val="20"/>
                <w:szCs w:val="20"/>
              </w:rPr>
              <w:t xml:space="preserve"> 01.11.2021</w:t>
            </w:r>
          </w:p>
        </w:tc>
      </w:tr>
      <w:tr w:rsidR="005546AB" w:rsidRPr="008E10A5" w14:paraId="01F77F0D" w14:textId="77777777" w:rsidTr="005546AB">
        <w:trPr>
          <w:trHeight w:val="195"/>
        </w:trPr>
        <w:tc>
          <w:tcPr>
            <w:tcW w:w="1701" w:type="dxa"/>
            <w:vMerge/>
            <w:tcBorders>
              <w:top w:val="nil"/>
              <w:left w:val="single" w:sz="4" w:space="0" w:color="auto"/>
              <w:right w:val="single" w:sz="6" w:space="0" w:color="000000"/>
            </w:tcBorders>
          </w:tcPr>
          <w:p w14:paraId="0EE96060" w14:textId="77777777" w:rsidR="005546AB" w:rsidRDefault="005546AB" w:rsidP="00D11086">
            <w:pPr>
              <w:rPr>
                <w:sz w:val="2"/>
                <w:szCs w:val="2"/>
              </w:rPr>
            </w:pPr>
          </w:p>
        </w:tc>
        <w:tc>
          <w:tcPr>
            <w:tcW w:w="4233" w:type="dxa"/>
            <w:vMerge/>
            <w:tcBorders>
              <w:top w:val="nil"/>
              <w:left w:val="single" w:sz="6" w:space="0" w:color="000000"/>
              <w:right w:val="single" w:sz="6" w:space="0" w:color="000000"/>
            </w:tcBorders>
          </w:tcPr>
          <w:p w14:paraId="2A23038A" w14:textId="77777777" w:rsidR="005546AB" w:rsidRDefault="005546AB"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C4B959C" w14:textId="77777777" w:rsidR="005546AB" w:rsidRPr="008E10A5" w:rsidRDefault="005546AB" w:rsidP="00D1108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1AB7384C" w14:textId="77777777" w:rsidR="005546AB" w:rsidRPr="008E10A5" w:rsidRDefault="005546AB" w:rsidP="00D11086">
            <w:pPr>
              <w:pStyle w:val="TableParagraph"/>
              <w:spacing w:line="176" w:lineRule="exact"/>
              <w:ind w:left="0" w:right="444"/>
              <w:rPr>
                <w:rFonts w:ascii="Times New Roman" w:hAnsi="Times New Roman" w:cs="Times New Roman"/>
                <w:sz w:val="20"/>
                <w:szCs w:val="20"/>
              </w:rPr>
            </w:pPr>
            <w:r>
              <w:rPr>
                <w:rFonts w:ascii="Times New Roman" w:hAnsi="Times New Roman" w:cs="Times New Roman"/>
                <w:sz w:val="20"/>
                <w:szCs w:val="20"/>
              </w:rPr>
              <w:t>--</w:t>
            </w:r>
          </w:p>
        </w:tc>
      </w:tr>
      <w:tr w:rsidR="005546AB" w:rsidRPr="008E10A5" w14:paraId="777C9BE0" w14:textId="77777777" w:rsidTr="005546AB">
        <w:trPr>
          <w:trHeight w:val="195"/>
        </w:trPr>
        <w:tc>
          <w:tcPr>
            <w:tcW w:w="1701" w:type="dxa"/>
            <w:vMerge/>
            <w:tcBorders>
              <w:top w:val="nil"/>
              <w:left w:val="single" w:sz="4" w:space="0" w:color="auto"/>
              <w:right w:val="single" w:sz="6" w:space="0" w:color="000000"/>
            </w:tcBorders>
          </w:tcPr>
          <w:p w14:paraId="0ED1B51F" w14:textId="77777777" w:rsidR="005546AB" w:rsidRDefault="005546AB" w:rsidP="00D11086">
            <w:pPr>
              <w:rPr>
                <w:sz w:val="2"/>
                <w:szCs w:val="2"/>
              </w:rPr>
            </w:pPr>
          </w:p>
        </w:tc>
        <w:tc>
          <w:tcPr>
            <w:tcW w:w="4233" w:type="dxa"/>
            <w:vMerge/>
            <w:tcBorders>
              <w:top w:val="nil"/>
              <w:left w:val="single" w:sz="6" w:space="0" w:color="000000"/>
              <w:right w:val="single" w:sz="6" w:space="0" w:color="000000"/>
            </w:tcBorders>
          </w:tcPr>
          <w:p w14:paraId="1E1E1DDD" w14:textId="77777777" w:rsidR="005546AB" w:rsidRDefault="005546AB"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46C693A" w14:textId="77777777" w:rsidR="005546AB" w:rsidRPr="008E10A5" w:rsidRDefault="005546AB" w:rsidP="00D1108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No:</w:t>
            </w:r>
          </w:p>
        </w:tc>
        <w:tc>
          <w:tcPr>
            <w:tcW w:w="2000" w:type="dxa"/>
            <w:tcBorders>
              <w:top w:val="single" w:sz="6" w:space="0" w:color="000000"/>
              <w:left w:val="single" w:sz="6" w:space="0" w:color="000000"/>
              <w:bottom w:val="single" w:sz="6" w:space="0" w:color="000000"/>
              <w:right w:val="single" w:sz="4" w:space="0" w:color="auto"/>
            </w:tcBorders>
            <w:vAlign w:val="center"/>
          </w:tcPr>
          <w:p w14:paraId="4E0D838D" w14:textId="77777777" w:rsidR="005546AB" w:rsidRPr="008E10A5" w:rsidRDefault="005546AB" w:rsidP="00D11086">
            <w:pPr>
              <w:pStyle w:val="TableParagraph"/>
              <w:spacing w:line="176" w:lineRule="exact"/>
              <w:ind w:left="0" w:right="444"/>
              <w:rPr>
                <w:rFonts w:ascii="Times New Roman" w:hAnsi="Times New Roman" w:cs="Times New Roman"/>
                <w:sz w:val="20"/>
                <w:szCs w:val="20"/>
              </w:rPr>
            </w:pPr>
            <w:r>
              <w:rPr>
                <w:rFonts w:ascii="Times New Roman" w:hAnsi="Times New Roman" w:cs="Times New Roman"/>
                <w:sz w:val="20"/>
                <w:szCs w:val="20"/>
              </w:rPr>
              <w:t xml:space="preserve"> 0</w:t>
            </w:r>
          </w:p>
        </w:tc>
      </w:tr>
      <w:tr w:rsidR="005546AB" w:rsidRPr="008E10A5" w14:paraId="70AA73D8" w14:textId="77777777" w:rsidTr="005546AB">
        <w:trPr>
          <w:trHeight w:val="464"/>
        </w:trPr>
        <w:tc>
          <w:tcPr>
            <w:tcW w:w="1701" w:type="dxa"/>
            <w:vMerge/>
            <w:tcBorders>
              <w:top w:val="nil"/>
              <w:left w:val="single" w:sz="4" w:space="0" w:color="auto"/>
              <w:bottom w:val="single" w:sz="4" w:space="0" w:color="auto"/>
              <w:right w:val="single" w:sz="6" w:space="0" w:color="000000"/>
            </w:tcBorders>
          </w:tcPr>
          <w:p w14:paraId="0274D08C" w14:textId="77777777" w:rsidR="005546AB" w:rsidRDefault="005546AB" w:rsidP="00D11086">
            <w:pPr>
              <w:rPr>
                <w:sz w:val="2"/>
                <w:szCs w:val="2"/>
              </w:rPr>
            </w:pPr>
          </w:p>
        </w:tc>
        <w:tc>
          <w:tcPr>
            <w:tcW w:w="4233" w:type="dxa"/>
            <w:vMerge/>
            <w:tcBorders>
              <w:top w:val="nil"/>
              <w:left w:val="single" w:sz="6" w:space="0" w:color="000000"/>
              <w:bottom w:val="single" w:sz="4" w:space="0" w:color="auto"/>
              <w:right w:val="single" w:sz="6" w:space="0" w:color="000000"/>
            </w:tcBorders>
          </w:tcPr>
          <w:p w14:paraId="56713B30" w14:textId="77777777" w:rsidR="005546AB" w:rsidRDefault="005546AB" w:rsidP="00D11086">
            <w:pPr>
              <w:rPr>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50F88059" w14:textId="77777777" w:rsidR="005546AB" w:rsidRPr="008E10A5" w:rsidRDefault="005546AB" w:rsidP="00D11086">
            <w:pPr>
              <w:pStyle w:val="TableParagraph"/>
              <w:spacing w:before="22"/>
              <w:ind w:left="34"/>
              <w:rPr>
                <w:rFonts w:ascii="Times New Roman" w:hAnsi="Times New Roman" w:cs="Times New Roman"/>
                <w:sz w:val="20"/>
                <w:szCs w:val="20"/>
              </w:rPr>
            </w:pPr>
            <w:r w:rsidRPr="008E10A5">
              <w:rPr>
                <w:rFonts w:ascii="Times New Roman" w:hAnsi="Times New Roman" w:cs="Times New Roman"/>
                <w:w w:val="105"/>
                <w:sz w:val="20"/>
                <w:szCs w:val="20"/>
              </w:rPr>
              <w:t>Toplam Sayfa</w:t>
            </w:r>
          </w:p>
          <w:p w14:paraId="6860B3FE" w14:textId="77777777" w:rsidR="005546AB" w:rsidRPr="008E10A5" w:rsidRDefault="005546AB" w:rsidP="00D11086">
            <w:pPr>
              <w:pStyle w:val="TableParagraph"/>
              <w:spacing w:before="25" w:line="189" w:lineRule="exact"/>
              <w:ind w:left="34"/>
              <w:rPr>
                <w:rFonts w:ascii="Times New Roman" w:hAnsi="Times New Roman" w:cs="Times New Roman"/>
                <w:sz w:val="20"/>
                <w:szCs w:val="20"/>
              </w:rPr>
            </w:pPr>
            <w:r w:rsidRPr="008E10A5">
              <w:rPr>
                <w:rFonts w:ascii="Times New Roman" w:hAnsi="Times New Roman" w:cs="Times New Roman"/>
                <w:w w:val="105"/>
                <w:sz w:val="20"/>
                <w:szCs w:val="20"/>
              </w:rPr>
              <w:t>Sayısı</w:t>
            </w:r>
          </w:p>
        </w:tc>
        <w:tc>
          <w:tcPr>
            <w:tcW w:w="2000" w:type="dxa"/>
            <w:tcBorders>
              <w:top w:val="single" w:sz="6" w:space="0" w:color="000000"/>
              <w:left w:val="single" w:sz="6" w:space="0" w:color="000000"/>
              <w:bottom w:val="single" w:sz="4" w:space="0" w:color="auto"/>
              <w:right w:val="single" w:sz="4" w:space="0" w:color="auto"/>
            </w:tcBorders>
            <w:vAlign w:val="center"/>
          </w:tcPr>
          <w:p w14:paraId="60E5F30F" w14:textId="4E6772C1" w:rsidR="005546AB" w:rsidRPr="008E10A5" w:rsidRDefault="005546AB" w:rsidP="005546AB">
            <w:pPr>
              <w:pStyle w:val="TableParagraph"/>
              <w:spacing w:line="192" w:lineRule="exact"/>
              <w:ind w:left="0" w:right="444"/>
              <w:rPr>
                <w:rFonts w:ascii="Times New Roman" w:hAnsi="Times New Roman" w:cs="Times New Roman"/>
                <w:sz w:val="20"/>
                <w:szCs w:val="20"/>
              </w:rPr>
            </w:pPr>
            <w:r>
              <w:rPr>
                <w:rFonts w:ascii="Times New Roman" w:hAnsi="Times New Roman" w:cs="Times New Roman"/>
                <w:sz w:val="20"/>
                <w:szCs w:val="20"/>
              </w:rPr>
              <w:t xml:space="preserve"> 13</w:t>
            </w:r>
          </w:p>
        </w:tc>
      </w:tr>
    </w:tbl>
    <w:p w14:paraId="687E63C8" w14:textId="77777777" w:rsidR="005546AB" w:rsidRDefault="005546AB">
      <w:pPr>
        <w:pStyle w:val="GvdeMetni"/>
        <w:spacing w:before="2"/>
        <w:rPr>
          <w:b/>
          <w:sz w:val="28"/>
        </w:rPr>
      </w:pPr>
    </w:p>
    <w:p w14:paraId="708BB0CA" w14:textId="4282F782" w:rsidR="005546AB" w:rsidRDefault="005546AB" w:rsidP="005546AB">
      <w:pPr>
        <w:spacing w:line="245" w:lineRule="exact"/>
        <w:ind w:left="20"/>
        <w:rPr>
          <w:rFonts w:ascii="Calibri"/>
        </w:rPr>
      </w:pPr>
      <w:r>
        <w:rPr>
          <w:b/>
          <w:sz w:val="20"/>
        </w:rPr>
        <w:t xml:space="preserve"> </w:t>
      </w:r>
      <w:r w:rsidR="00EA339B">
        <w:rPr>
          <w:b/>
          <w:sz w:val="20"/>
        </w:rPr>
        <w:t>Amaç ve kapsam:</w:t>
      </w:r>
      <w:r w:rsidRPr="005546AB">
        <w:rPr>
          <w:rFonts w:ascii="Calibri"/>
        </w:rPr>
        <w:t xml:space="preserve"> </w:t>
      </w:r>
    </w:p>
    <w:p w14:paraId="2F89855F" w14:textId="3A0A2973" w:rsidR="008E059F" w:rsidRDefault="008E059F">
      <w:pPr>
        <w:spacing w:before="99"/>
        <w:ind w:left="216"/>
        <w:rPr>
          <w:b/>
          <w:sz w:val="20"/>
        </w:rPr>
      </w:pPr>
    </w:p>
    <w:p w14:paraId="49CE4D5A" w14:textId="77777777" w:rsidR="008E059F" w:rsidRDefault="008E059F">
      <w:pPr>
        <w:pStyle w:val="GvdeMetni"/>
        <w:spacing w:before="2"/>
        <w:rPr>
          <w:b/>
        </w:rPr>
      </w:pPr>
    </w:p>
    <w:p w14:paraId="0A7A463F" w14:textId="6A7D72D4" w:rsidR="008E059F" w:rsidRDefault="00EA339B">
      <w:pPr>
        <w:pStyle w:val="GvdeMetni"/>
        <w:spacing w:line="276" w:lineRule="auto"/>
        <w:ind w:left="216" w:right="270"/>
        <w:jc w:val="both"/>
      </w:pPr>
      <w:r>
        <w:rPr>
          <w:b/>
        </w:rPr>
        <w:t xml:space="preserve">MADDE 1 </w:t>
      </w:r>
      <w:r>
        <w:t xml:space="preserve">– (1) (Değişik Senato 27.12.2016 - 2016/09-26.) Bu yönergenin amacı “Avrupa Birliği Eğitim ve Gençlik Programları ”arasında yer alan Erasmus </w:t>
      </w:r>
      <w:r>
        <w:t xml:space="preserve">Plus Programı'nın "Ana Eylem 1 - KA1 Eğitim ve Öğretim Alanında Bireylerin Öğrenme Hareketliliği" kapsamında, </w:t>
      </w:r>
      <w:r w:rsidR="005546AB">
        <w:t xml:space="preserve">Tekirdağ </w:t>
      </w:r>
      <w:r>
        <w:t>Namık Kemal Üniversitesi’nden programa dahil olan üniversite ve diğer yüksek öğretim kurumlarına eğitim – öğretim amacıyla gidecek ve söz konusu ü</w:t>
      </w:r>
      <w:r>
        <w:t>niversite ve yükseköğretim kurumlarından gelecek olan öğrenci ve personele ilişkin konuları düzenlemektir.</w:t>
      </w:r>
    </w:p>
    <w:p w14:paraId="0FE59C7B" w14:textId="77777777" w:rsidR="008E059F" w:rsidRDefault="008E059F">
      <w:pPr>
        <w:pStyle w:val="GvdeMetni"/>
        <w:rPr>
          <w:sz w:val="17"/>
        </w:rPr>
      </w:pPr>
    </w:p>
    <w:p w14:paraId="76B0D9FF" w14:textId="77777777" w:rsidR="008E059F" w:rsidRDefault="00EA339B">
      <w:pPr>
        <w:pStyle w:val="Balk1"/>
      </w:pPr>
      <w:r>
        <w:t>Dayanak:</w:t>
      </w:r>
    </w:p>
    <w:p w14:paraId="79A7F821" w14:textId="77777777" w:rsidR="008E059F" w:rsidRDefault="008E059F">
      <w:pPr>
        <w:pStyle w:val="GvdeMetni"/>
        <w:spacing w:before="2"/>
        <w:rPr>
          <w:b/>
        </w:rPr>
      </w:pPr>
    </w:p>
    <w:p w14:paraId="3BE70ACA" w14:textId="77777777" w:rsidR="008E059F" w:rsidRDefault="00EA339B">
      <w:pPr>
        <w:pStyle w:val="GvdeMetni"/>
        <w:spacing w:line="276" w:lineRule="auto"/>
        <w:ind w:left="216" w:right="277"/>
        <w:jc w:val="both"/>
      </w:pPr>
      <w:r>
        <w:rPr>
          <w:b/>
        </w:rPr>
        <w:t xml:space="preserve">MADDE 2 </w:t>
      </w:r>
      <w:r>
        <w:t>– (1) Dayanak: Bu yönerge 2547 sayılı Yükseköğretim Kanunu 43üncü maddesinin d fıkrasına dayanılarak hazırlanmıştır.</w:t>
      </w:r>
    </w:p>
    <w:p w14:paraId="2995CA84" w14:textId="77777777" w:rsidR="008E059F" w:rsidRDefault="008E059F">
      <w:pPr>
        <w:pStyle w:val="GvdeMetni"/>
        <w:spacing w:before="1"/>
        <w:rPr>
          <w:sz w:val="17"/>
        </w:rPr>
      </w:pPr>
    </w:p>
    <w:p w14:paraId="7286E957" w14:textId="77777777" w:rsidR="008E059F" w:rsidRDefault="00EA339B">
      <w:pPr>
        <w:pStyle w:val="Balk1"/>
      </w:pPr>
      <w:r>
        <w:t>Tanımlar:</w:t>
      </w:r>
    </w:p>
    <w:p w14:paraId="3CB2A212" w14:textId="77777777" w:rsidR="008E059F" w:rsidRDefault="008E059F">
      <w:pPr>
        <w:pStyle w:val="GvdeMetni"/>
        <w:spacing w:before="10"/>
        <w:rPr>
          <w:b/>
          <w:sz w:val="19"/>
        </w:rPr>
      </w:pPr>
    </w:p>
    <w:p w14:paraId="2C0062EF" w14:textId="77777777" w:rsidR="008E059F" w:rsidRDefault="00EA339B">
      <w:pPr>
        <w:spacing w:before="1"/>
        <w:ind w:left="216"/>
        <w:rPr>
          <w:sz w:val="20"/>
        </w:rPr>
      </w:pPr>
      <w:r>
        <w:rPr>
          <w:b/>
          <w:sz w:val="20"/>
        </w:rPr>
        <w:t>M</w:t>
      </w:r>
      <w:r>
        <w:rPr>
          <w:b/>
          <w:sz w:val="20"/>
        </w:rPr>
        <w:t xml:space="preserve">ADDE 3 </w:t>
      </w:r>
      <w:r>
        <w:rPr>
          <w:sz w:val="20"/>
        </w:rPr>
        <w:t>– (1) Bu yönergede adı geçen;</w:t>
      </w:r>
    </w:p>
    <w:p w14:paraId="25E02EDC" w14:textId="77777777" w:rsidR="008E059F" w:rsidRDefault="008E059F">
      <w:pPr>
        <w:pStyle w:val="GvdeMetni"/>
        <w:spacing w:before="1"/>
      </w:pPr>
    </w:p>
    <w:p w14:paraId="24728511" w14:textId="1D68F491" w:rsidR="008E059F" w:rsidRDefault="00EA339B">
      <w:pPr>
        <w:pStyle w:val="ListeParagraf"/>
        <w:numPr>
          <w:ilvl w:val="0"/>
          <w:numId w:val="14"/>
        </w:numPr>
        <w:tabs>
          <w:tab w:val="left" w:pos="435"/>
        </w:tabs>
        <w:rPr>
          <w:sz w:val="20"/>
        </w:rPr>
      </w:pPr>
      <w:r>
        <w:rPr>
          <w:sz w:val="20"/>
        </w:rPr>
        <w:t xml:space="preserve">Üniversite: </w:t>
      </w:r>
      <w:r w:rsidR="005546AB">
        <w:rPr>
          <w:sz w:val="20"/>
        </w:rPr>
        <w:t xml:space="preserve">Tekirdağ </w:t>
      </w:r>
      <w:r>
        <w:rPr>
          <w:sz w:val="20"/>
        </w:rPr>
        <w:t>Namık Kemal Üniversitesi (NKÜ) ve Erasmus Plus Programı kapsamındaki</w:t>
      </w:r>
      <w:r>
        <w:rPr>
          <w:spacing w:val="-17"/>
          <w:sz w:val="20"/>
        </w:rPr>
        <w:t xml:space="preserve"> </w:t>
      </w:r>
      <w:r>
        <w:rPr>
          <w:sz w:val="20"/>
        </w:rPr>
        <w:t>Üniversiteleri,</w:t>
      </w:r>
    </w:p>
    <w:p w14:paraId="58679A2B" w14:textId="77777777" w:rsidR="008E059F" w:rsidRDefault="008E059F">
      <w:pPr>
        <w:pStyle w:val="GvdeMetni"/>
        <w:spacing w:before="1"/>
      </w:pPr>
    </w:p>
    <w:p w14:paraId="199237EB" w14:textId="77777777" w:rsidR="008E059F" w:rsidRDefault="00EA339B">
      <w:pPr>
        <w:pStyle w:val="ListeParagraf"/>
        <w:numPr>
          <w:ilvl w:val="0"/>
          <w:numId w:val="14"/>
        </w:numPr>
        <w:tabs>
          <w:tab w:val="left" w:pos="445"/>
        </w:tabs>
        <w:spacing w:before="1"/>
        <w:ind w:left="444" w:hanging="229"/>
        <w:rPr>
          <w:sz w:val="20"/>
        </w:rPr>
      </w:pPr>
      <w:r>
        <w:rPr>
          <w:sz w:val="20"/>
        </w:rPr>
        <w:t>Birim: Fakülte, Enstitü, Yüksekokul ve Meslek</w:t>
      </w:r>
      <w:r>
        <w:rPr>
          <w:spacing w:val="-5"/>
          <w:sz w:val="20"/>
        </w:rPr>
        <w:t xml:space="preserve"> </w:t>
      </w:r>
      <w:r>
        <w:rPr>
          <w:sz w:val="20"/>
        </w:rPr>
        <w:t>Yüksekokullarını,</w:t>
      </w:r>
    </w:p>
    <w:p w14:paraId="1977F31D" w14:textId="77777777" w:rsidR="008E059F" w:rsidRDefault="008E059F">
      <w:pPr>
        <w:pStyle w:val="GvdeMetni"/>
        <w:spacing w:before="10"/>
        <w:rPr>
          <w:sz w:val="19"/>
        </w:rPr>
      </w:pPr>
    </w:p>
    <w:p w14:paraId="29B6509D" w14:textId="77777777" w:rsidR="008E059F" w:rsidRDefault="00EA339B">
      <w:pPr>
        <w:pStyle w:val="ListeParagraf"/>
        <w:numPr>
          <w:ilvl w:val="0"/>
          <w:numId w:val="14"/>
        </w:numPr>
        <w:tabs>
          <w:tab w:val="left" w:pos="476"/>
        </w:tabs>
        <w:spacing w:line="278" w:lineRule="auto"/>
        <w:ind w:left="216" w:right="282" w:firstLine="0"/>
        <w:jc w:val="both"/>
        <w:rPr>
          <w:sz w:val="20"/>
        </w:rPr>
      </w:pPr>
      <w:r>
        <w:rPr>
          <w:sz w:val="20"/>
        </w:rPr>
        <w:t>Kurul: Erasmus öğrenci değişiminden yararlanacak öğrencilerin seçimi ve başvuruda bulunmaya hak kazandıkları yurt dışı yükseköğretim kurumlarına yerleştirilmesi ile ilgili</w:t>
      </w:r>
      <w:r>
        <w:rPr>
          <w:spacing w:val="-10"/>
          <w:sz w:val="20"/>
        </w:rPr>
        <w:t xml:space="preserve"> </w:t>
      </w:r>
      <w:r>
        <w:rPr>
          <w:sz w:val="20"/>
        </w:rPr>
        <w:t>kurulu,</w:t>
      </w:r>
    </w:p>
    <w:p w14:paraId="523F6FE6" w14:textId="77777777" w:rsidR="008E059F" w:rsidRDefault="00EA339B">
      <w:pPr>
        <w:pStyle w:val="ListeParagraf"/>
        <w:numPr>
          <w:ilvl w:val="0"/>
          <w:numId w:val="14"/>
        </w:numPr>
        <w:tabs>
          <w:tab w:val="left" w:pos="448"/>
        </w:tabs>
        <w:spacing w:before="196"/>
        <w:ind w:left="447" w:hanging="232"/>
        <w:rPr>
          <w:sz w:val="20"/>
        </w:rPr>
      </w:pPr>
      <w:r>
        <w:rPr>
          <w:sz w:val="20"/>
        </w:rPr>
        <w:t>Erasmus: Erasmus Plus Programı’nın Yükseköğretimde Bireylerin Öğrenme Hareke</w:t>
      </w:r>
      <w:r>
        <w:rPr>
          <w:sz w:val="20"/>
        </w:rPr>
        <w:t>tliliği</w:t>
      </w:r>
      <w:r>
        <w:rPr>
          <w:spacing w:val="-19"/>
          <w:sz w:val="20"/>
        </w:rPr>
        <w:t xml:space="preserve"> </w:t>
      </w:r>
      <w:r>
        <w:rPr>
          <w:sz w:val="20"/>
        </w:rPr>
        <w:t>faaliyetlerini,</w:t>
      </w:r>
    </w:p>
    <w:p w14:paraId="66B4B4BA" w14:textId="77777777" w:rsidR="008E059F" w:rsidRDefault="008E059F">
      <w:pPr>
        <w:pStyle w:val="GvdeMetni"/>
        <w:spacing w:before="1"/>
      </w:pPr>
    </w:p>
    <w:p w14:paraId="3D862C2C" w14:textId="77777777" w:rsidR="008E059F" w:rsidRDefault="00EA339B">
      <w:pPr>
        <w:pStyle w:val="ListeParagraf"/>
        <w:numPr>
          <w:ilvl w:val="0"/>
          <w:numId w:val="14"/>
        </w:numPr>
        <w:tabs>
          <w:tab w:val="left" w:pos="433"/>
        </w:tabs>
        <w:ind w:left="432" w:hanging="217"/>
        <w:rPr>
          <w:sz w:val="20"/>
        </w:rPr>
      </w:pPr>
      <w:r>
        <w:rPr>
          <w:sz w:val="20"/>
        </w:rPr>
        <w:t>Türkiye Ulusal Ajansı: Avrupa Birliği Eğitim ve Gençlik Programları Merkezi</w:t>
      </w:r>
      <w:r>
        <w:rPr>
          <w:spacing w:val="-11"/>
          <w:sz w:val="20"/>
        </w:rPr>
        <w:t xml:space="preserve"> </w:t>
      </w:r>
      <w:r>
        <w:rPr>
          <w:sz w:val="20"/>
        </w:rPr>
        <w:t>Başkanlığını,</w:t>
      </w:r>
    </w:p>
    <w:p w14:paraId="5F595D56" w14:textId="77777777" w:rsidR="008E059F" w:rsidRDefault="008E059F">
      <w:pPr>
        <w:pStyle w:val="GvdeMetni"/>
        <w:spacing w:before="2"/>
      </w:pPr>
    </w:p>
    <w:p w14:paraId="025EA5C8" w14:textId="77777777" w:rsidR="008E059F" w:rsidRDefault="00EA339B">
      <w:pPr>
        <w:pStyle w:val="ListeParagraf"/>
        <w:numPr>
          <w:ilvl w:val="0"/>
          <w:numId w:val="14"/>
        </w:numPr>
        <w:tabs>
          <w:tab w:val="left" w:pos="397"/>
        </w:tabs>
        <w:spacing w:line="276" w:lineRule="auto"/>
        <w:ind w:left="216" w:right="271" w:firstLine="0"/>
        <w:jc w:val="both"/>
        <w:rPr>
          <w:sz w:val="20"/>
        </w:rPr>
      </w:pPr>
      <w:r>
        <w:rPr>
          <w:sz w:val="20"/>
        </w:rPr>
        <w:t>Erasmus Anlaşması (Erasmus Inter-Institutional Agreement): Üniversitemiz birimleri ile Erasmus Programı kapsamındaki üniversitelerin birimle</w:t>
      </w:r>
      <w:r>
        <w:rPr>
          <w:sz w:val="20"/>
        </w:rPr>
        <w:t>ri arasında yapılan öğrenci / personel hareketlilik</w:t>
      </w:r>
      <w:r>
        <w:rPr>
          <w:spacing w:val="-15"/>
          <w:sz w:val="20"/>
        </w:rPr>
        <w:t xml:space="preserve"> </w:t>
      </w:r>
      <w:r>
        <w:rPr>
          <w:sz w:val="20"/>
        </w:rPr>
        <w:t>anlaşmasını,</w:t>
      </w:r>
    </w:p>
    <w:p w14:paraId="040A8E9A" w14:textId="77777777" w:rsidR="008E059F" w:rsidRDefault="008E059F">
      <w:pPr>
        <w:pStyle w:val="GvdeMetni"/>
        <w:rPr>
          <w:sz w:val="17"/>
        </w:rPr>
      </w:pPr>
    </w:p>
    <w:p w14:paraId="240D4C1E" w14:textId="77777777" w:rsidR="008E059F" w:rsidRDefault="00EA339B">
      <w:pPr>
        <w:pStyle w:val="ListeParagraf"/>
        <w:numPr>
          <w:ilvl w:val="0"/>
          <w:numId w:val="14"/>
        </w:numPr>
        <w:tabs>
          <w:tab w:val="left" w:pos="533"/>
        </w:tabs>
        <w:spacing w:line="276" w:lineRule="auto"/>
        <w:ind w:left="216" w:right="273" w:firstLine="0"/>
        <w:jc w:val="both"/>
        <w:rPr>
          <w:sz w:val="20"/>
        </w:rPr>
      </w:pPr>
      <w:r>
        <w:rPr>
          <w:sz w:val="20"/>
        </w:rPr>
        <w:t>Öğrenim Anlaşması (Learning Agreement): Hareketlilik faaliyetlerine katılan öğrencinin gideceği kurum/kuruluş/organizasyonda, alacağı dersleri/gerçekleştireceği eğitim programını, derslerin kredisini/eğitim programının içeriğini gösteren ve öğrencinin kend</w:t>
      </w:r>
      <w:r>
        <w:rPr>
          <w:sz w:val="20"/>
        </w:rPr>
        <w:t>isi, Bölüm / Üniversite Erasmus koordinatörü ile gideceği kurum/kuruluş/organizasyondaki Bölüm / Erasmus Koordinatörü ya da yetkili kişi tarafından imzalanan</w:t>
      </w:r>
      <w:r>
        <w:rPr>
          <w:spacing w:val="-3"/>
          <w:sz w:val="20"/>
        </w:rPr>
        <w:t xml:space="preserve"> </w:t>
      </w:r>
      <w:r>
        <w:rPr>
          <w:sz w:val="20"/>
        </w:rPr>
        <w:t>anlaşmayı,</w:t>
      </w:r>
    </w:p>
    <w:p w14:paraId="2D2DDEC7" w14:textId="77777777" w:rsidR="008E059F" w:rsidRDefault="008E059F">
      <w:pPr>
        <w:pStyle w:val="GvdeMetni"/>
        <w:spacing w:before="1"/>
        <w:rPr>
          <w:sz w:val="17"/>
        </w:rPr>
      </w:pPr>
    </w:p>
    <w:p w14:paraId="53C83240" w14:textId="77777777" w:rsidR="008E059F" w:rsidRDefault="00EA339B">
      <w:pPr>
        <w:pStyle w:val="ListeParagraf"/>
        <w:numPr>
          <w:ilvl w:val="0"/>
          <w:numId w:val="14"/>
        </w:numPr>
        <w:tabs>
          <w:tab w:val="left" w:pos="500"/>
        </w:tabs>
        <w:spacing w:line="276" w:lineRule="auto"/>
        <w:ind w:left="216" w:right="281" w:firstLine="0"/>
        <w:jc w:val="both"/>
        <w:rPr>
          <w:sz w:val="20"/>
        </w:rPr>
      </w:pPr>
      <w:r>
        <w:rPr>
          <w:sz w:val="20"/>
        </w:rPr>
        <w:t>Erasmus Öğrenci Beyannamesi (Erasmus Student Charter): Erasmus hareketlilik faaliyetin</w:t>
      </w:r>
      <w:r>
        <w:rPr>
          <w:sz w:val="20"/>
        </w:rPr>
        <w:t>e katılacak öğrenciye Üniversite’den ayrılmadan önce verilen ve öğrencinin hak ve yükümlülüklerini belirten</w:t>
      </w:r>
      <w:r>
        <w:rPr>
          <w:spacing w:val="-28"/>
          <w:sz w:val="20"/>
        </w:rPr>
        <w:t xml:space="preserve"> </w:t>
      </w:r>
      <w:r>
        <w:rPr>
          <w:sz w:val="20"/>
        </w:rPr>
        <w:t>belgeyi,</w:t>
      </w:r>
    </w:p>
    <w:p w14:paraId="423C9B0D" w14:textId="77777777" w:rsidR="008E059F" w:rsidRDefault="008E059F">
      <w:pPr>
        <w:pStyle w:val="GvdeMetni"/>
        <w:spacing w:before="1"/>
        <w:rPr>
          <w:sz w:val="17"/>
        </w:rPr>
      </w:pPr>
    </w:p>
    <w:p w14:paraId="2A152322" w14:textId="77777777" w:rsidR="008E059F" w:rsidRDefault="00EA339B">
      <w:pPr>
        <w:pStyle w:val="ListeParagraf"/>
        <w:numPr>
          <w:ilvl w:val="0"/>
          <w:numId w:val="14"/>
        </w:numPr>
        <w:tabs>
          <w:tab w:val="left" w:pos="392"/>
        </w:tabs>
        <w:ind w:left="391" w:hanging="176"/>
        <w:rPr>
          <w:sz w:val="20"/>
        </w:rPr>
      </w:pPr>
      <w:r>
        <w:rPr>
          <w:sz w:val="20"/>
        </w:rPr>
        <w:t>Öğrenim İzni: Erasmus öğrenci hareketlilik faaliyetinden yararlanacak öğrenciye verilen</w:t>
      </w:r>
      <w:r>
        <w:rPr>
          <w:spacing w:val="-12"/>
          <w:sz w:val="20"/>
        </w:rPr>
        <w:t xml:space="preserve"> </w:t>
      </w:r>
      <w:r>
        <w:rPr>
          <w:sz w:val="20"/>
        </w:rPr>
        <w:t>izni,</w:t>
      </w:r>
    </w:p>
    <w:p w14:paraId="07F187ED" w14:textId="77777777" w:rsidR="008E059F" w:rsidRDefault="008E059F">
      <w:pPr>
        <w:pStyle w:val="GvdeMetni"/>
        <w:spacing w:before="1"/>
      </w:pPr>
    </w:p>
    <w:p w14:paraId="57F847E4" w14:textId="7EFD7022" w:rsidR="008E059F" w:rsidRDefault="00EA339B">
      <w:pPr>
        <w:pStyle w:val="ListeParagraf"/>
        <w:numPr>
          <w:ilvl w:val="0"/>
          <w:numId w:val="14"/>
        </w:numPr>
        <w:tabs>
          <w:tab w:val="left" w:pos="390"/>
        </w:tabs>
        <w:spacing w:before="1"/>
        <w:ind w:left="389" w:hanging="174"/>
        <w:rPr>
          <w:sz w:val="20"/>
        </w:rPr>
      </w:pPr>
      <w:r>
        <w:rPr>
          <w:sz w:val="20"/>
        </w:rPr>
        <w:t xml:space="preserve">Kurum Koordinatörü: </w:t>
      </w:r>
      <w:r w:rsidR="005546AB">
        <w:rPr>
          <w:sz w:val="20"/>
        </w:rPr>
        <w:t xml:space="preserve">Tekirdağ </w:t>
      </w:r>
      <w:r>
        <w:rPr>
          <w:sz w:val="20"/>
        </w:rPr>
        <w:t>Namık Kemal Üniversitesi Erasmus</w:t>
      </w:r>
      <w:r>
        <w:rPr>
          <w:spacing w:val="-7"/>
          <w:sz w:val="20"/>
        </w:rPr>
        <w:t xml:space="preserve"> </w:t>
      </w:r>
      <w:r>
        <w:rPr>
          <w:sz w:val="20"/>
        </w:rPr>
        <w:t>Koordinatörünü,</w:t>
      </w:r>
    </w:p>
    <w:p w14:paraId="6AEAE9E4" w14:textId="77777777" w:rsidR="008E059F" w:rsidRDefault="008E059F">
      <w:pPr>
        <w:pStyle w:val="GvdeMetni"/>
        <w:spacing w:before="10"/>
        <w:rPr>
          <w:sz w:val="19"/>
        </w:rPr>
      </w:pPr>
    </w:p>
    <w:p w14:paraId="511BB787" w14:textId="541C8B46" w:rsidR="008E059F" w:rsidRDefault="00EA339B">
      <w:pPr>
        <w:pStyle w:val="ListeParagraf"/>
        <w:numPr>
          <w:ilvl w:val="0"/>
          <w:numId w:val="14"/>
        </w:numPr>
        <w:tabs>
          <w:tab w:val="left" w:pos="442"/>
        </w:tabs>
        <w:ind w:left="441" w:hanging="226"/>
        <w:rPr>
          <w:sz w:val="20"/>
        </w:rPr>
      </w:pPr>
      <w:r>
        <w:rPr>
          <w:sz w:val="20"/>
        </w:rPr>
        <w:t xml:space="preserve">Kurum Koordinatör Yardımcısı: </w:t>
      </w:r>
      <w:r w:rsidR="005546AB">
        <w:rPr>
          <w:sz w:val="20"/>
        </w:rPr>
        <w:t xml:space="preserve">Tekirdağ </w:t>
      </w:r>
      <w:r>
        <w:rPr>
          <w:sz w:val="20"/>
        </w:rPr>
        <w:t>Namık Kemal Üniversitesi Erasmus Koordinatör</w:t>
      </w:r>
      <w:r>
        <w:rPr>
          <w:spacing w:val="-10"/>
          <w:sz w:val="20"/>
        </w:rPr>
        <w:t xml:space="preserve"> </w:t>
      </w:r>
      <w:r>
        <w:rPr>
          <w:sz w:val="20"/>
        </w:rPr>
        <w:t>Yardımcısını,</w:t>
      </w:r>
    </w:p>
    <w:p w14:paraId="2F5C9EDE" w14:textId="77777777" w:rsidR="008E059F" w:rsidRDefault="008E059F">
      <w:pPr>
        <w:pStyle w:val="GvdeMetni"/>
        <w:spacing w:before="2"/>
      </w:pPr>
    </w:p>
    <w:p w14:paraId="0F4788E9" w14:textId="77777777" w:rsidR="008E059F" w:rsidRDefault="00EA339B">
      <w:pPr>
        <w:pStyle w:val="ListeParagraf"/>
        <w:numPr>
          <w:ilvl w:val="0"/>
          <w:numId w:val="14"/>
        </w:numPr>
        <w:tabs>
          <w:tab w:val="left" w:pos="392"/>
        </w:tabs>
        <w:ind w:left="391" w:hanging="176"/>
        <w:rPr>
          <w:sz w:val="20"/>
        </w:rPr>
      </w:pPr>
      <w:r>
        <w:rPr>
          <w:sz w:val="20"/>
        </w:rPr>
        <w:t>B</w:t>
      </w:r>
      <w:r>
        <w:rPr>
          <w:sz w:val="20"/>
        </w:rPr>
        <w:t>irim Koordinatörü: Fakülte, Yüksekokul ve Meslek Yüksekokulu</w:t>
      </w:r>
      <w:r>
        <w:rPr>
          <w:spacing w:val="-4"/>
          <w:sz w:val="20"/>
        </w:rPr>
        <w:t xml:space="preserve"> </w:t>
      </w:r>
      <w:r>
        <w:rPr>
          <w:sz w:val="20"/>
        </w:rPr>
        <w:t>Koordinatörünü,</w:t>
      </w:r>
    </w:p>
    <w:p w14:paraId="465C1974" w14:textId="77777777" w:rsidR="008E059F" w:rsidRDefault="008E059F">
      <w:pPr>
        <w:pStyle w:val="GvdeMetni"/>
        <w:spacing w:before="1"/>
      </w:pPr>
    </w:p>
    <w:p w14:paraId="56494391" w14:textId="77777777" w:rsidR="008E059F" w:rsidRDefault="00EA339B">
      <w:pPr>
        <w:pStyle w:val="ListeParagraf"/>
        <w:numPr>
          <w:ilvl w:val="0"/>
          <w:numId w:val="14"/>
        </w:numPr>
        <w:tabs>
          <w:tab w:val="left" w:pos="503"/>
        </w:tabs>
        <w:ind w:left="502" w:hanging="287"/>
        <w:rPr>
          <w:sz w:val="20"/>
        </w:rPr>
      </w:pPr>
      <w:r>
        <w:rPr>
          <w:sz w:val="20"/>
        </w:rPr>
        <w:t>Birim Koordinatör Yardımcısı: Fakülte, Yüksekokul ve Meslek Yüksekokulu Koordinatör</w:t>
      </w:r>
      <w:r>
        <w:rPr>
          <w:spacing w:val="-20"/>
          <w:sz w:val="20"/>
        </w:rPr>
        <w:t xml:space="preserve"> </w:t>
      </w:r>
      <w:r>
        <w:rPr>
          <w:sz w:val="20"/>
        </w:rPr>
        <w:t>Yardımcısını,</w:t>
      </w:r>
    </w:p>
    <w:p w14:paraId="53B1F601" w14:textId="77777777" w:rsidR="008E059F" w:rsidRDefault="008E059F">
      <w:pPr>
        <w:rPr>
          <w:sz w:val="20"/>
        </w:rPr>
        <w:sectPr w:rsidR="008E059F">
          <w:headerReference w:type="default" r:id="rId8"/>
          <w:type w:val="continuous"/>
          <w:pgSz w:w="11910" w:h="16840"/>
          <w:pgMar w:top="1320" w:right="860" w:bottom="280" w:left="1200" w:header="749" w:footer="708" w:gutter="0"/>
          <w:cols w:space="708"/>
        </w:sectPr>
      </w:pPr>
    </w:p>
    <w:p w14:paraId="6D376684" w14:textId="77777777" w:rsidR="008E059F" w:rsidRDefault="00EA339B">
      <w:pPr>
        <w:pStyle w:val="ListeParagraf"/>
        <w:numPr>
          <w:ilvl w:val="0"/>
          <w:numId w:val="14"/>
        </w:numPr>
        <w:tabs>
          <w:tab w:val="left" w:pos="452"/>
        </w:tabs>
        <w:spacing w:before="89" w:line="278" w:lineRule="auto"/>
        <w:ind w:left="216" w:right="273" w:firstLine="0"/>
        <w:jc w:val="both"/>
        <w:rPr>
          <w:sz w:val="20"/>
        </w:rPr>
      </w:pPr>
      <w:r>
        <w:rPr>
          <w:sz w:val="20"/>
        </w:rPr>
        <w:lastRenderedPageBreak/>
        <w:t>Bölüm Koordinatörü: Bölüm/Programdan Erasmus programı ile yurtdışına gidecek / yurtdışından gelecek öğrencilere ve personellere ilişkin iş ve işlemlerden sorumlu</w:t>
      </w:r>
      <w:r>
        <w:rPr>
          <w:spacing w:val="-7"/>
          <w:sz w:val="20"/>
        </w:rPr>
        <w:t xml:space="preserve"> </w:t>
      </w:r>
      <w:r>
        <w:rPr>
          <w:sz w:val="20"/>
        </w:rPr>
        <w:t>personeli,</w:t>
      </w:r>
    </w:p>
    <w:p w14:paraId="0164D436" w14:textId="77777777" w:rsidR="008E059F" w:rsidRDefault="00EA339B">
      <w:pPr>
        <w:pStyle w:val="ListeParagraf"/>
        <w:numPr>
          <w:ilvl w:val="0"/>
          <w:numId w:val="14"/>
        </w:numPr>
        <w:tabs>
          <w:tab w:val="left" w:pos="457"/>
        </w:tabs>
        <w:spacing w:before="196" w:line="278" w:lineRule="auto"/>
        <w:ind w:left="216" w:right="284" w:firstLine="0"/>
        <w:jc w:val="both"/>
        <w:rPr>
          <w:sz w:val="20"/>
        </w:rPr>
      </w:pPr>
      <w:r>
        <w:rPr>
          <w:sz w:val="20"/>
        </w:rPr>
        <w:t>Enstitü Anabilim Dalı (EABD) Koordinatörü: Lisansüstü programlarda Bölüm Erasmus Koordinatörü aynı zamanda EABD Erasmus Koordinatörünü,</w:t>
      </w:r>
    </w:p>
    <w:p w14:paraId="142DD1A5" w14:textId="77777777" w:rsidR="008E059F" w:rsidRDefault="00EA339B">
      <w:pPr>
        <w:pStyle w:val="ListeParagraf"/>
        <w:numPr>
          <w:ilvl w:val="0"/>
          <w:numId w:val="14"/>
        </w:numPr>
        <w:tabs>
          <w:tab w:val="left" w:pos="485"/>
        </w:tabs>
        <w:spacing w:before="195" w:line="278" w:lineRule="auto"/>
        <w:ind w:left="216" w:right="280" w:firstLine="0"/>
        <w:jc w:val="both"/>
        <w:rPr>
          <w:sz w:val="20"/>
        </w:rPr>
      </w:pPr>
      <w:r>
        <w:rPr>
          <w:sz w:val="20"/>
        </w:rPr>
        <w:t>Dış İlişkiler Uygulama ve Araştırma Merkezi: Erasmus Progam Koordinatörlüğü ve buna bağlı faaliyet gösteren Erasmus Ofis</w:t>
      </w:r>
      <w:r>
        <w:rPr>
          <w:sz w:val="20"/>
        </w:rPr>
        <w:t>inin bağlı olduğu Üniversite</w:t>
      </w:r>
      <w:r>
        <w:rPr>
          <w:spacing w:val="-5"/>
          <w:sz w:val="20"/>
        </w:rPr>
        <w:t xml:space="preserve"> </w:t>
      </w:r>
      <w:r>
        <w:rPr>
          <w:sz w:val="20"/>
        </w:rPr>
        <w:t>birimini,</w:t>
      </w:r>
    </w:p>
    <w:p w14:paraId="3CD058FF" w14:textId="77777777" w:rsidR="008E059F" w:rsidRDefault="00EA339B">
      <w:pPr>
        <w:pStyle w:val="GvdeMetni"/>
        <w:spacing w:before="197" w:line="276" w:lineRule="auto"/>
        <w:ind w:left="216" w:right="269"/>
        <w:jc w:val="both"/>
      </w:pPr>
      <w:r>
        <w:t xml:space="preserve">r) Erasmus Ofisi: Dış İlişkiler Uygulama ve Araştırma Merkezi Müdürlüğü/Erasmus Program Koordinatörlüğüne bağlı olup, Erasmus Programının yürütülmesinde Öğrenci İşleri Daire Başkanlığı, Strateji Geliştirme Başkanlığı </w:t>
      </w:r>
      <w:r>
        <w:t>ve diğer ilgili birimlerle program kuralları çerçevesinde iletişim halinde çalışan; Üniversite Erasmus Kurulu kararları doğrultusunda gitmek üzere seçilen ve Erasmus Anlaşmaları çerçevesinde gelen öğrenci ve personellerin idari işlemlerini yürüten; Türkiye</w:t>
      </w:r>
      <w:r>
        <w:t xml:space="preserve"> Ulusal Ajans'ı ile program kuralları, sözleşmeler, raporlamalar hususlarında etkileşim halinde çalışan birimi,</w:t>
      </w:r>
    </w:p>
    <w:p w14:paraId="1FF2FA81" w14:textId="77777777" w:rsidR="008E059F" w:rsidRDefault="008E059F">
      <w:pPr>
        <w:pStyle w:val="GvdeMetni"/>
        <w:rPr>
          <w:sz w:val="17"/>
        </w:rPr>
      </w:pPr>
    </w:p>
    <w:p w14:paraId="4780EA26" w14:textId="77777777" w:rsidR="008E059F" w:rsidRDefault="00EA339B">
      <w:pPr>
        <w:pStyle w:val="GvdeMetni"/>
        <w:ind w:left="216"/>
      </w:pPr>
      <w:r>
        <w:t>ifade eder.</w:t>
      </w:r>
    </w:p>
    <w:p w14:paraId="37A391FE" w14:textId="77777777" w:rsidR="008E059F" w:rsidRDefault="008E059F">
      <w:pPr>
        <w:pStyle w:val="GvdeMetni"/>
        <w:spacing w:before="2"/>
      </w:pPr>
    </w:p>
    <w:p w14:paraId="19247D1D" w14:textId="77777777" w:rsidR="008E059F" w:rsidRDefault="00EA339B">
      <w:pPr>
        <w:pStyle w:val="Balk1"/>
      </w:pPr>
      <w:r>
        <w:t>Üniversitenin hareketlilik faaliyetlerinden yararlanması:</w:t>
      </w:r>
    </w:p>
    <w:p w14:paraId="27E09216" w14:textId="77777777" w:rsidR="008E059F" w:rsidRDefault="008E059F">
      <w:pPr>
        <w:pStyle w:val="GvdeMetni"/>
        <w:spacing w:before="11"/>
        <w:rPr>
          <w:b/>
          <w:sz w:val="19"/>
        </w:rPr>
      </w:pPr>
    </w:p>
    <w:p w14:paraId="6D511395" w14:textId="77777777" w:rsidR="008E059F" w:rsidRDefault="00EA339B">
      <w:pPr>
        <w:pStyle w:val="GvdeMetni"/>
        <w:spacing w:line="276" w:lineRule="auto"/>
        <w:ind w:left="216" w:right="276"/>
        <w:jc w:val="both"/>
      </w:pPr>
      <w:r>
        <w:rPr>
          <w:b/>
        </w:rPr>
        <w:t xml:space="preserve">MADDE 4 </w:t>
      </w:r>
      <w:r>
        <w:t>– (1) Üniversite, Avrupa Komisyonu’ndan aldığı Erasmus Yükseköğretim Beyannamesinde yer alan ilkeleri benimser ve bu ilkeler doğrultusunda çalışmalarını yürütmeyi taahhüt eder. Erasmus programına dahil olmak isteyen Üniversiteler, Avrupa Komisyonu’na başvu</w:t>
      </w:r>
      <w:r>
        <w:t>rmak suretiyle “Erasmus Yükseköğretim Beyannamesine” sahip olmak zorundadır. Ülkemizde Erasmus Programı, Avrupa Komisyonu’nun belirlediği kurallar ve esaslar çerçevesinde, Türkiye Ulusal Ajansı tarafından yürütülmektedir. Erasmus Yükseköğretim Beyannamesin</w:t>
      </w:r>
      <w:r>
        <w:t>e sahip olan Üniversite, akademik yıl başlamadan evvel ilgili yıla ait sözleşmeyi Türkiye Ulusal Ajansı ile imzalar. Üniversite ve Türkiye Ulusal Ajansı arasında imzalanan sözleşme ekinde yer alan, ilgili yıla ait Erasmus Uygulama El Kitabında, Öğrenci Har</w:t>
      </w:r>
      <w:r>
        <w:t>eketliliği, Personel Hareketliliği ve Erasmus ile ilgili diğer uyulması gereken hususlar yer alır. Üniversite bu kitapta yer alan hükümlere uymak zorundadır.</w:t>
      </w:r>
    </w:p>
    <w:p w14:paraId="5A6920CE" w14:textId="77777777" w:rsidR="008E059F" w:rsidRDefault="008E059F">
      <w:pPr>
        <w:pStyle w:val="GvdeMetni"/>
        <w:spacing w:before="2"/>
        <w:rPr>
          <w:sz w:val="17"/>
        </w:rPr>
      </w:pPr>
    </w:p>
    <w:p w14:paraId="0E1C6B69" w14:textId="77777777" w:rsidR="008E059F" w:rsidRDefault="00EA339B">
      <w:pPr>
        <w:pStyle w:val="Balk1"/>
      </w:pPr>
      <w:r>
        <w:t>Üniversite birimlerinin hareketlilik faaliyetlerinden yararlanma koşulları:</w:t>
      </w:r>
    </w:p>
    <w:p w14:paraId="7351562F" w14:textId="77777777" w:rsidR="008E059F" w:rsidRDefault="008E059F">
      <w:pPr>
        <w:pStyle w:val="GvdeMetni"/>
        <w:spacing w:before="1"/>
        <w:rPr>
          <w:b/>
        </w:rPr>
      </w:pPr>
    </w:p>
    <w:p w14:paraId="12644E60" w14:textId="77777777" w:rsidR="008E059F" w:rsidRDefault="00EA339B">
      <w:pPr>
        <w:pStyle w:val="GvdeMetni"/>
        <w:spacing w:before="1" w:line="276" w:lineRule="auto"/>
        <w:ind w:left="216" w:right="280"/>
        <w:jc w:val="both"/>
      </w:pPr>
      <w:r>
        <w:rPr>
          <w:b/>
        </w:rPr>
        <w:t xml:space="preserve">MADDE 5 </w:t>
      </w:r>
      <w:r>
        <w:t>– (1) Erasmu</w:t>
      </w:r>
      <w:r>
        <w:t>s programı kapsamında hareketlilik faaliyeti gerçekleştirilebilmesi için birimlerin/bölümlerin, o birim/bölümlerde okutulan konu alanlarını içeren Erasmus anlaşması ya da anlaşmalarına sahip olmaları gerekmektedir.</w:t>
      </w:r>
    </w:p>
    <w:p w14:paraId="2D1F71BF" w14:textId="77777777" w:rsidR="008E059F" w:rsidRDefault="008E059F">
      <w:pPr>
        <w:pStyle w:val="GvdeMetni"/>
        <w:spacing w:before="11"/>
        <w:rPr>
          <w:sz w:val="16"/>
        </w:rPr>
      </w:pPr>
    </w:p>
    <w:p w14:paraId="2A5B810F" w14:textId="77777777" w:rsidR="008E059F" w:rsidRDefault="00EA339B">
      <w:pPr>
        <w:pStyle w:val="Balk1"/>
      </w:pPr>
      <w:r>
        <w:t>Öğrencilerin hareketlilik faaliyetlerinden yararlanma koşulları:</w:t>
      </w:r>
    </w:p>
    <w:p w14:paraId="1372D9AB" w14:textId="77777777" w:rsidR="008E059F" w:rsidRDefault="008E059F">
      <w:pPr>
        <w:pStyle w:val="GvdeMetni"/>
        <w:spacing w:before="1"/>
        <w:rPr>
          <w:b/>
        </w:rPr>
      </w:pPr>
    </w:p>
    <w:p w14:paraId="381537F5" w14:textId="38E0BF9D" w:rsidR="008E059F" w:rsidRDefault="00EA339B">
      <w:pPr>
        <w:pStyle w:val="GvdeMetni"/>
        <w:spacing w:before="1" w:line="276" w:lineRule="auto"/>
        <w:ind w:left="216" w:right="272"/>
        <w:jc w:val="both"/>
      </w:pPr>
      <w:r>
        <w:rPr>
          <w:b/>
        </w:rPr>
        <w:t xml:space="preserve">MADDE 6 </w:t>
      </w:r>
      <w:r>
        <w:t xml:space="preserve">– (1) Öğrencinin; T.C. Vatandaşı olması ya da başka ülkelerin vatandaşı olmakla birlikte, </w:t>
      </w:r>
      <w:r w:rsidR="005546AB">
        <w:t xml:space="preserve">Tekirdağ </w:t>
      </w:r>
      <w:r>
        <w:t>Namık Kemal Üniversitesi bünyesinde örgün eğitim kademelerinin herhangi birinde (önlisans, l</w:t>
      </w:r>
      <w:r>
        <w:t>isans, yüksek lisans, doktora) bir yükseköğretim programına kayıtlı, tam zamanlı öğrenci olması (kayıtlı oldukları programın hazırlık sınıfındaki öğrenciler Erasmus hareketlilik faaliyetinden yararlanamazlar)</w:t>
      </w:r>
    </w:p>
    <w:p w14:paraId="21108CBF" w14:textId="77777777" w:rsidR="008E059F" w:rsidRDefault="008E059F">
      <w:pPr>
        <w:pStyle w:val="GvdeMetni"/>
        <w:spacing w:before="10"/>
        <w:rPr>
          <w:sz w:val="16"/>
        </w:rPr>
      </w:pPr>
    </w:p>
    <w:p w14:paraId="12F42D97" w14:textId="77777777" w:rsidR="008E059F" w:rsidRDefault="00EA339B">
      <w:pPr>
        <w:pStyle w:val="ListeParagraf"/>
        <w:numPr>
          <w:ilvl w:val="0"/>
          <w:numId w:val="13"/>
        </w:numPr>
        <w:tabs>
          <w:tab w:val="left" w:pos="569"/>
        </w:tabs>
        <w:spacing w:line="278" w:lineRule="auto"/>
        <w:ind w:right="276" w:firstLine="0"/>
        <w:jc w:val="both"/>
        <w:rPr>
          <w:sz w:val="20"/>
        </w:rPr>
      </w:pPr>
      <w:r>
        <w:rPr>
          <w:sz w:val="20"/>
        </w:rPr>
        <w:t>Öğrencinin, hareketlilik faaliyetinin gerçekle</w:t>
      </w:r>
      <w:r>
        <w:rPr>
          <w:sz w:val="20"/>
        </w:rPr>
        <w:t>şeceği dönemde (hazırlık sınıfı hariç), Üniversitede ilk 2 yarıyılı tamamlamış olması</w:t>
      </w:r>
      <w:r>
        <w:rPr>
          <w:spacing w:val="-4"/>
          <w:sz w:val="20"/>
        </w:rPr>
        <w:t xml:space="preserve"> </w:t>
      </w:r>
      <w:r>
        <w:rPr>
          <w:sz w:val="20"/>
        </w:rPr>
        <w:t>zorunludur.</w:t>
      </w:r>
    </w:p>
    <w:p w14:paraId="3C85C828" w14:textId="77777777" w:rsidR="008E059F" w:rsidRDefault="00EA339B">
      <w:pPr>
        <w:pStyle w:val="ListeParagraf"/>
        <w:numPr>
          <w:ilvl w:val="0"/>
          <w:numId w:val="13"/>
        </w:numPr>
        <w:tabs>
          <w:tab w:val="left" w:pos="526"/>
        </w:tabs>
        <w:spacing w:before="195" w:line="278" w:lineRule="auto"/>
        <w:ind w:right="283" w:firstLine="0"/>
        <w:jc w:val="both"/>
        <w:rPr>
          <w:sz w:val="20"/>
        </w:rPr>
      </w:pPr>
      <w:r>
        <w:rPr>
          <w:sz w:val="20"/>
        </w:rPr>
        <w:t>Öğrencinin son transkriptinde genel not ortalaması, ön lisans ve lisans için 4 üzerinden en az 2.20, yüksek lisans için en az 2.50, doktora için en az 3.00 ol</w:t>
      </w:r>
      <w:r>
        <w:rPr>
          <w:sz w:val="20"/>
        </w:rPr>
        <w:t>ması</w:t>
      </w:r>
      <w:r>
        <w:rPr>
          <w:spacing w:val="-2"/>
          <w:sz w:val="20"/>
        </w:rPr>
        <w:t xml:space="preserve"> </w:t>
      </w:r>
      <w:r>
        <w:rPr>
          <w:sz w:val="20"/>
        </w:rPr>
        <w:t>gerekir.</w:t>
      </w:r>
    </w:p>
    <w:p w14:paraId="735C7940" w14:textId="77777777" w:rsidR="008E059F" w:rsidRDefault="00EA339B">
      <w:pPr>
        <w:pStyle w:val="ListeParagraf"/>
        <w:numPr>
          <w:ilvl w:val="0"/>
          <w:numId w:val="13"/>
        </w:numPr>
        <w:tabs>
          <w:tab w:val="left" w:pos="538"/>
        </w:tabs>
        <w:spacing w:before="196" w:line="278" w:lineRule="auto"/>
        <w:ind w:right="285" w:firstLine="0"/>
        <w:jc w:val="both"/>
        <w:rPr>
          <w:sz w:val="20"/>
        </w:rPr>
      </w:pPr>
      <w:r>
        <w:rPr>
          <w:sz w:val="20"/>
        </w:rPr>
        <w:t>Öğrenci, Erasmus Koordinatörlüğü tarafından belirlenen ve ilan edilen tarihler arasında, istenen yöntem ve belgelerle Dış İlişkiler Uygulama ve Araştırma Merkezi / Erasmus Ofisi’ne başvuruda</w:t>
      </w:r>
      <w:r>
        <w:rPr>
          <w:spacing w:val="-25"/>
          <w:sz w:val="20"/>
        </w:rPr>
        <w:t xml:space="preserve"> </w:t>
      </w:r>
      <w:r>
        <w:rPr>
          <w:sz w:val="20"/>
        </w:rPr>
        <w:t>bulunmalıdır.</w:t>
      </w:r>
    </w:p>
    <w:p w14:paraId="3DA47A78" w14:textId="77777777" w:rsidR="008E059F" w:rsidRDefault="00EA339B">
      <w:pPr>
        <w:pStyle w:val="ListeParagraf"/>
        <w:numPr>
          <w:ilvl w:val="0"/>
          <w:numId w:val="13"/>
        </w:numPr>
        <w:tabs>
          <w:tab w:val="left" w:pos="589"/>
        </w:tabs>
        <w:spacing w:before="196" w:line="278" w:lineRule="auto"/>
        <w:ind w:right="280" w:firstLine="0"/>
        <w:jc w:val="both"/>
        <w:rPr>
          <w:sz w:val="20"/>
        </w:rPr>
      </w:pPr>
      <w:r>
        <w:rPr>
          <w:sz w:val="20"/>
        </w:rPr>
        <w:t>Yapılan başvurular Erasmus Kurulu tar</w:t>
      </w:r>
      <w:r>
        <w:rPr>
          <w:sz w:val="20"/>
        </w:rPr>
        <w:t>afından değerlendirildikten sonra, Erasmus Ofisi tarafından başvuran öğrenci listesi</w:t>
      </w:r>
      <w:r>
        <w:rPr>
          <w:spacing w:val="-5"/>
          <w:sz w:val="20"/>
        </w:rPr>
        <w:t xml:space="preserve"> </w:t>
      </w:r>
      <w:r>
        <w:rPr>
          <w:sz w:val="20"/>
        </w:rPr>
        <w:t>oluşturulur.</w:t>
      </w:r>
    </w:p>
    <w:p w14:paraId="69FB2EEC" w14:textId="77777777" w:rsidR="008E059F" w:rsidRDefault="008E059F">
      <w:pPr>
        <w:spacing w:line="278" w:lineRule="auto"/>
        <w:jc w:val="both"/>
        <w:rPr>
          <w:sz w:val="20"/>
        </w:rPr>
        <w:sectPr w:rsidR="008E059F">
          <w:pgSz w:w="11910" w:h="16840"/>
          <w:pgMar w:top="1320" w:right="860" w:bottom="280" w:left="1200" w:header="749" w:footer="0" w:gutter="0"/>
          <w:cols w:space="708"/>
        </w:sectPr>
      </w:pPr>
    </w:p>
    <w:p w14:paraId="64441210" w14:textId="77777777" w:rsidR="008E059F" w:rsidRDefault="00EA339B">
      <w:pPr>
        <w:pStyle w:val="ListeParagraf"/>
        <w:numPr>
          <w:ilvl w:val="0"/>
          <w:numId w:val="13"/>
        </w:numPr>
        <w:tabs>
          <w:tab w:val="left" w:pos="531"/>
        </w:tabs>
        <w:spacing w:before="89" w:line="278" w:lineRule="auto"/>
        <w:ind w:right="281" w:firstLine="0"/>
        <w:jc w:val="both"/>
        <w:rPr>
          <w:sz w:val="20"/>
        </w:rPr>
      </w:pPr>
      <w:r>
        <w:rPr>
          <w:sz w:val="20"/>
        </w:rPr>
        <w:lastRenderedPageBreak/>
        <w:t>Araştırma Görevlileri başvuru aşamasında ilgili Bölüm Başkanlığının ve Dekanlık/Enstitü Müdürlüğü'nün onayını almak</w:t>
      </w:r>
      <w:r>
        <w:rPr>
          <w:spacing w:val="-1"/>
          <w:sz w:val="20"/>
        </w:rPr>
        <w:t xml:space="preserve"> </w:t>
      </w:r>
      <w:r>
        <w:rPr>
          <w:sz w:val="20"/>
        </w:rPr>
        <w:t>zorundadır.</w:t>
      </w:r>
    </w:p>
    <w:p w14:paraId="2275D318" w14:textId="77777777" w:rsidR="008E059F" w:rsidRDefault="00EA339B">
      <w:pPr>
        <w:pStyle w:val="ListeParagraf"/>
        <w:numPr>
          <w:ilvl w:val="0"/>
          <w:numId w:val="13"/>
        </w:numPr>
        <w:tabs>
          <w:tab w:val="left" w:pos="562"/>
        </w:tabs>
        <w:spacing w:before="196" w:line="278" w:lineRule="auto"/>
        <w:ind w:right="282" w:firstLine="0"/>
        <w:jc w:val="both"/>
        <w:rPr>
          <w:sz w:val="20"/>
        </w:rPr>
      </w:pPr>
      <w:r>
        <w:rPr>
          <w:sz w:val="20"/>
        </w:rPr>
        <w:t>Doktora yeterlilik sınavına girmemiş olan doktora öğrencileri aşağıda belirtilen dönemlerde Erasmus Öğrenci Hareketliliğinden</w:t>
      </w:r>
      <w:r>
        <w:rPr>
          <w:spacing w:val="-2"/>
          <w:sz w:val="20"/>
        </w:rPr>
        <w:t xml:space="preserve"> </w:t>
      </w:r>
      <w:r>
        <w:rPr>
          <w:sz w:val="20"/>
        </w:rPr>
        <w:t>yararlanamaz.</w:t>
      </w:r>
    </w:p>
    <w:p w14:paraId="1D300D0C" w14:textId="77777777" w:rsidR="008E059F" w:rsidRDefault="00EA339B">
      <w:pPr>
        <w:pStyle w:val="ListeParagraf"/>
        <w:numPr>
          <w:ilvl w:val="0"/>
          <w:numId w:val="12"/>
        </w:numPr>
        <w:tabs>
          <w:tab w:val="left" w:pos="435"/>
        </w:tabs>
        <w:spacing w:before="195"/>
        <w:rPr>
          <w:sz w:val="20"/>
        </w:rPr>
      </w:pPr>
      <w:r>
        <w:rPr>
          <w:sz w:val="20"/>
        </w:rPr>
        <w:t>Doktora yeterlilik sınavına girilmesi gereken son</w:t>
      </w:r>
      <w:r>
        <w:rPr>
          <w:spacing w:val="-7"/>
          <w:sz w:val="20"/>
        </w:rPr>
        <w:t xml:space="preserve"> </w:t>
      </w:r>
      <w:r>
        <w:rPr>
          <w:sz w:val="20"/>
        </w:rPr>
        <w:t>dönem,</w:t>
      </w:r>
    </w:p>
    <w:p w14:paraId="57714A38" w14:textId="77777777" w:rsidR="008E059F" w:rsidRDefault="008E059F">
      <w:pPr>
        <w:pStyle w:val="GvdeMetni"/>
        <w:spacing w:before="1"/>
      </w:pPr>
    </w:p>
    <w:p w14:paraId="30391D69" w14:textId="77777777" w:rsidR="008E059F" w:rsidRDefault="00EA339B">
      <w:pPr>
        <w:pStyle w:val="ListeParagraf"/>
        <w:numPr>
          <w:ilvl w:val="0"/>
          <w:numId w:val="12"/>
        </w:numPr>
        <w:tabs>
          <w:tab w:val="left" w:pos="445"/>
        </w:tabs>
        <w:ind w:left="444" w:hanging="229"/>
        <w:rPr>
          <w:sz w:val="20"/>
        </w:rPr>
      </w:pPr>
      <w:r>
        <w:rPr>
          <w:sz w:val="20"/>
        </w:rPr>
        <w:t>Tez Önerisi Savunmasına girilmesi gereken son</w:t>
      </w:r>
      <w:r>
        <w:rPr>
          <w:spacing w:val="-2"/>
          <w:sz w:val="20"/>
        </w:rPr>
        <w:t xml:space="preserve"> </w:t>
      </w:r>
      <w:r>
        <w:rPr>
          <w:sz w:val="20"/>
        </w:rPr>
        <w:t>dönem,</w:t>
      </w:r>
    </w:p>
    <w:p w14:paraId="1A2A2189" w14:textId="77777777" w:rsidR="008E059F" w:rsidRDefault="008E059F">
      <w:pPr>
        <w:pStyle w:val="GvdeMetni"/>
        <w:spacing w:before="2"/>
      </w:pPr>
    </w:p>
    <w:p w14:paraId="5D5536D2" w14:textId="77777777" w:rsidR="008E059F" w:rsidRDefault="00EA339B">
      <w:pPr>
        <w:pStyle w:val="ListeParagraf"/>
        <w:numPr>
          <w:ilvl w:val="0"/>
          <w:numId w:val="12"/>
        </w:numPr>
        <w:tabs>
          <w:tab w:val="left" w:pos="426"/>
        </w:tabs>
        <w:ind w:left="425" w:hanging="210"/>
        <w:rPr>
          <w:sz w:val="20"/>
        </w:rPr>
      </w:pPr>
      <w:r>
        <w:rPr>
          <w:sz w:val="20"/>
        </w:rPr>
        <w:t>Prog</w:t>
      </w:r>
      <w:r>
        <w:rPr>
          <w:sz w:val="20"/>
        </w:rPr>
        <w:t>ramının azami süresinin son</w:t>
      </w:r>
      <w:r>
        <w:rPr>
          <w:spacing w:val="-5"/>
          <w:sz w:val="20"/>
        </w:rPr>
        <w:t xml:space="preserve"> </w:t>
      </w:r>
      <w:r>
        <w:rPr>
          <w:sz w:val="20"/>
        </w:rPr>
        <w:t>dönemi.</w:t>
      </w:r>
    </w:p>
    <w:p w14:paraId="2924FD04" w14:textId="77777777" w:rsidR="008E059F" w:rsidRDefault="008E059F">
      <w:pPr>
        <w:pStyle w:val="GvdeMetni"/>
        <w:spacing w:before="1"/>
      </w:pPr>
    </w:p>
    <w:p w14:paraId="0B0B5D6B" w14:textId="77777777" w:rsidR="008E059F" w:rsidRDefault="00EA339B">
      <w:pPr>
        <w:pStyle w:val="ListeParagraf"/>
        <w:numPr>
          <w:ilvl w:val="0"/>
          <w:numId w:val="13"/>
        </w:numPr>
        <w:tabs>
          <w:tab w:val="left" w:pos="531"/>
        </w:tabs>
        <w:spacing w:line="276" w:lineRule="auto"/>
        <w:ind w:right="282" w:firstLine="0"/>
        <w:jc w:val="both"/>
        <w:rPr>
          <w:sz w:val="20"/>
        </w:rPr>
      </w:pPr>
      <w:r>
        <w:rPr>
          <w:sz w:val="20"/>
        </w:rPr>
        <w:t>Tez aşamasındaki Yüksek Lisans ve Doktora öğrencilerinin Erasmus Öğrenci Hareketliliğinden yararlanıp yararlanamayacağı konusunda öğrencinin tez ve/veya akademik danışmanı karar verir. Olumlu/olumsuz karar bir yazıyla D</w:t>
      </w:r>
      <w:r>
        <w:rPr>
          <w:sz w:val="20"/>
        </w:rPr>
        <w:t>ış İlişkiler Uygulama ve Araştırma Merkezi Müdürlüğüne</w:t>
      </w:r>
      <w:r>
        <w:rPr>
          <w:spacing w:val="-16"/>
          <w:sz w:val="20"/>
        </w:rPr>
        <w:t xml:space="preserve"> </w:t>
      </w:r>
      <w:r>
        <w:rPr>
          <w:sz w:val="20"/>
        </w:rPr>
        <w:t>bildirilir.</w:t>
      </w:r>
    </w:p>
    <w:p w14:paraId="4E0B98FA" w14:textId="77777777" w:rsidR="008E059F" w:rsidRDefault="008E059F">
      <w:pPr>
        <w:pStyle w:val="GvdeMetni"/>
        <w:rPr>
          <w:sz w:val="17"/>
        </w:rPr>
      </w:pPr>
    </w:p>
    <w:p w14:paraId="2DF8971F" w14:textId="77777777" w:rsidR="008E059F" w:rsidRDefault="00EA339B">
      <w:pPr>
        <w:pStyle w:val="ListeParagraf"/>
        <w:numPr>
          <w:ilvl w:val="0"/>
          <w:numId w:val="13"/>
        </w:numPr>
        <w:tabs>
          <w:tab w:val="left" w:pos="577"/>
        </w:tabs>
        <w:spacing w:line="276" w:lineRule="auto"/>
        <w:ind w:right="273" w:firstLine="0"/>
        <w:jc w:val="both"/>
        <w:rPr>
          <w:sz w:val="20"/>
        </w:rPr>
      </w:pPr>
      <w:r>
        <w:rPr>
          <w:sz w:val="20"/>
        </w:rPr>
        <w:t>Başvuru belgeleri tam ve uygun olan, genel not ortalaması istenen koşulu sağlayan başvuru sahibi öğrenciler Yabancı Diller Yüksekokulu tarafından yapılan Erasmus Yabancı Dil Yeterlilik (Pr</w:t>
      </w:r>
      <w:r>
        <w:rPr>
          <w:sz w:val="20"/>
        </w:rPr>
        <w:t>oficiency) Sınavına girerler. Öğrencinin bu sınavdan 100 üzerinden en az 60 puan alması gerekmektedir. Erasmus Yabancı Dil Yeterlilik Sınavı'nın yapıldığı tarihten önce son 2 yıl içinde KPDS, ÜDS, YDS sınavlarından birine girip en az 60 alan öğrenciler dil</w:t>
      </w:r>
      <w:r>
        <w:rPr>
          <w:sz w:val="20"/>
        </w:rPr>
        <w:t>erlerse, söz konusu sınav puanlarını ibraz ettikleri taktirde Erasmus Yabancı Dil Yeterlilik Sınavından muaf olurlar; ibraz edilen KPDS/ÜDS/YDS puanı Yabancı Dil Yeterlilik puanı olarak kabul</w:t>
      </w:r>
      <w:r>
        <w:rPr>
          <w:spacing w:val="-1"/>
          <w:sz w:val="20"/>
        </w:rPr>
        <w:t xml:space="preserve"> </w:t>
      </w:r>
      <w:r>
        <w:rPr>
          <w:sz w:val="20"/>
        </w:rPr>
        <w:t>edilir.</w:t>
      </w:r>
    </w:p>
    <w:p w14:paraId="34CA541C" w14:textId="77777777" w:rsidR="008E059F" w:rsidRDefault="008E059F">
      <w:pPr>
        <w:pStyle w:val="GvdeMetni"/>
        <w:spacing w:before="2"/>
        <w:rPr>
          <w:sz w:val="17"/>
        </w:rPr>
      </w:pPr>
    </w:p>
    <w:p w14:paraId="51097376" w14:textId="77777777" w:rsidR="008E059F" w:rsidRDefault="00EA339B">
      <w:pPr>
        <w:pStyle w:val="ListeParagraf"/>
        <w:numPr>
          <w:ilvl w:val="0"/>
          <w:numId w:val="13"/>
        </w:numPr>
        <w:tabs>
          <w:tab w:val="left" w:pos="665"/>
        </w:tabs>
        <w:spacing w:line="276" w:lineRule="auto"/>
        <w:ind w:right="275" w:firstLine="0"/>
        <w:jc w:val="both"/>
        <w:rPr>
          <w:sz w:val="20"/>
        </w:rPr>
      </w:pPr>
      <w:r>
        <w:rPr>
          <w:sz w:val="20"/>
        </w:rPr>
        <w:t>Sınav sonucunda aşağıdaki şekilde hesaplanan Genel Erasmus Puanı esas alınarak öğrenci sıralaması yapılır.</w:t>
      </w:r>
    </w:p>
    <w:p w14:paraId="729F6608" w14:textId="77777777" w:rsidR="008E059F" w:rsidRDefault="008E059F">
      <w:pPr>
        <w:pStyle w:val="GvdeMetni"/>
        <w:rPr>
          <w:sz w:val="17"/>
        </w:rPr>
      </w:pPr>
    </w:p>
    <w:p w14:paraId="681A3DE2" w14:textId="77777777" w:rsidR="008E059F" w:rsidRDefault="00EA339B">
      <w:pPr>
        <w:pStyle w:val="ListeParagraf"/>
        <w:numPr>
          <w:ilvl w:val="0"/>
          <w:numId w:val="11"/>
        </w:numPr>
        <w:tabs>
          <w:tab w:val="left" w:pos="435"/>
        </w:tabs>
        <w:rPr>
          <w:sz w:val="20"/>
        </w:rPr>
      </w:pPr>
      <w:r>
        <w:rPr>
          <w:sz w:val="20"/>
        </w:rPr>
        <w:t>Genel Not Ortalamasının %</w:t>
      </w:r>
      <w:r>
        <w:rPr>
          <w:spacing w:val="1"/>
          <w:sz w:val="20"/>
        </w:rPr>
        <w:t xml:space="preserve"> </w:t>
      </w:r>
      <w:r>
        <w:rPr>
          <w:sz w:val="20"/>
        </w:rPr>
        <w:t>50’si,</w:t>
      </w:r>
    </w:p>
    <w:p w14:paraId="51C50667" w14:textId="77777777" w:rsidR="008E059F" w:rsidRDefault="008E059F">
      <w:pPr>
        <w:pStyle w:val="GvdeMetni"/>
        <w:spacing w:before="11"/>
        <w:rPr>
          <w:sz w:val="19"/>
        </w:rPr>
      </w:pPr>
    </w:p>
    <w:p w14:paraId="0E938E90" w14:textId="77777777" w:rsidR="008E059F" w:rsidRDefault="00EA339B">
      <w:pPr>
        <w:pStyle w:val="ListeParagraf"/>
        <w:numPr>
          <w:ilvl w:val="0"/>
          <w:numId w:val="11"/>
        </w:numPr>
        <w:tabs>
          <w:tab w:val="left" w:pos="445"/>
        </w:tabs>
        <w:ind w:left="444" w:hanging="229"/>
        <w:rPr>
          <w:sz w:val="20"/>
        </w:rPr>
      </w:pPr>
      <w:r>
        <w:rPr>
          <w:sz w:val="20"/>
        </w:rPr>
        <w:t>Yabancı Dil Puanının %</w:t>
      </w:r>
      <w:r>
        <w:rPr>
          <w:spacing w:val="-1"/>
          <w:sz w:val="20"/>
        </w:rPr>
        <w:t xml:space="preserve"> </w:t>
      </w:r>
      <w:r>
        <w:rPr>
          <w:sz w:val="20"/>
        </w:rPr>
        <w:t>50’si</w:t>
      </w:r>
    </w:p>
    <w:p w14:paraId="4DD0E86D" w14:textId="77777777" w:rsidR="008E059F" w:rsidRDefault="008E059F">
      <w:pPr>
        <w:pStyle w:val="GvdeMetni"/>
        <w:spacing w:before="1"/>
      </w:pPr>
    </w:p>
    <w:p w14:paraId="62718DB0" w14:textId="77777777" w:rsidR="008E059F" w:rsidRDefault="00EA339B">
      <w:pPr>
        <w:pStyle w:val="ListeParagraf"/>
        <w:numPr>
          <w:ilvl w:val="0"/>
          <w:numId w:val="13"/>
        </w:numPr>
        <w:tabs>
          <w:tab w:val="left" w:pos="648"/>
        </w:tabs>
        <w:spacing w:before="1" w:line="276" w:lineRule="auto"/>
        <w:ind w:right="278" w:firstLine="0"/>
        <w:jc w:val="both"/>
        <w:rPr>
          <w:sz w:val="20"/>
        </w:rPr>
      </w:pPr>
      <w:r>
        <w:rPr>
          <w:sz w:val="20"/>
        </w:rPr>
        <w:t>Değerlendirme sonuçları, her bölümün/anabilim dalının öğrencileri kendi içlerinde sıralanacak şekilde, öğrencilerin ad-soyadlarını, öğrenci numaralarını, aldıkları puanları içerecek şekilde Dış İlişkiler Uygulama ve Araştırma Merkezi web sayfasında</w:t>
      </w:r>
      <w:r>
        <w:rPr>
          <w:spacing w:val="-5"/>
          <w:sz w:val="20"/>
        </w:rPr>
        <w:t xml:space="preserve"> </w:t>
      </w:r>
      <w:r>
        <w:rPr>
          <w:sz w:val="20"/>
        </w:rPr>
        <w:t>duyurul</w:t>
      </w:r>
      <w:r>
        <w:rPr>
          <w:sz w:val="20"/>
        </w:rPr>
        <w:t>ur.</w:t>
      </w:r>
    </w:p>
    <w:p w14:paraId="39558EF3" w14:textId="77777777" w:rsidR="008E059F" w:rsidRDefault="008E059F">
      <w:pPr>
        <w:pStyle w:val="GvdeMetni"/>
        <w:spacing w:before="2"/>
        <w:rPr>
          <w:sz w:val="17"/>
        </w:rPr>
      </w:pPr>
    </w:p>
    <w:p w14:paraId="2259DD57" w14:textId="77777777" w:rsidR="008E059F" w:rsidRDefault="00EA339B">
      <w:pPr>
        <w:pStyle w:val="ListeParagraf"/>
        <w:numPr>
          <w:ilvl w:val="0"/>
          <w:numId w:val="13"/>
        </w:numPr>
        <w:tabs>
          <w:tab w:val="left" w:pos="651"/>
        </w:tabs>
        <w:spacing w:line="276" w:lineRule="auto"/>
        <w:ind w:right="282" w:firstLine="0"/>
        <w:jc w:val="both"/>
        <w:rPr>
          <w:sz w:val="20"/>
        </w:rPr>
      </w:pPr>
      <w:r>
        <w:rPr>
          <w:sz w:val="20"/>
        </w:rPr>
        <w:t>Seçim sürecinin kurallara uygun, adil ve şeffaf yapılmadığı yönünde öğrenci ve yükseköğretim kurumu arasında ihtilaf olması durumunda Üniversite Yönetim Kurulu</w:t>
      </w:r>
      <w:r>
        <w:rPr>
          <w:spacing w:val="-5"/>
          <w:sz w:val="20"/>
        </w:rPr>
        <w:t xml:space="preserve"> </w:t>
      </w:r>
      <w:r>
        <w:rPr>
          <w:sz w:val="20"/>
        </w:rPr>
        <w:t>yetkilidir.</w:t>
      </w:r>
    </w:p>
    <w:p w14:paraId="6C8D1D02" w14:textId="77777777" w:rsidR="008E059F" w:rsidRDefault="008E059F">
      <w:pPr>
        <w:pStyle w:val="GvdeMetni"/>
        <w:spacing w:before="1"/>
        <w:rPr>
          <w:sz w:val="17"/>
        </w:rPr>
      </w:pPr>
    </w:p>
    <w:p w14:paraId="7C9EBDB9" w14:textId="77777777" w:rsidR="008E059F" w:rsidRDefault="00EA339B">
      <w:pPr>
        <w:pStyle w:val="Balk1"/>
        <w:jc w:val="both"/>
      </w:pPr>
      <w:r>
        <w:t>Öğrencilerin yerleştirilmesi:</w:t>
      </w:r>
    </w:p>
    <w:p w14:paraId="70E166E7" w14:textId="77777777" w:rsidR="008E059F" w:rsidRDefault="008E059F">
      <w:pPr>
        <w:pStyle w:val="GvdeMetni"/>
        <w:spacing w:before="10"/>
        <w:rPr>
          <w:b/>
          <w:sz w:val="19"/>
        </w:rPr>
      </w:pPr>
    </w:p>
    <w:p w14:paraId="1235A023" w14:textId="77777777" w:rsidR="008E059F" w:rsidRDefault="00EA339B">
      <w:pPr>
        <w:pStyle w:val="GvdeMetni"/>
        <w:spacing w:before="1" w:line="276" w:lineRule="auto"/>
        <w:ind w:left="216" w:right="275"/>
        <w:jc w:val="both"/>
      </w:pPr>
      <w:r>
        <w:rPr>
          <w:b/>
        </w:rPr>
        <w:t xml:space="preserve">MADDE 7 </w:t>
      </w:r>
      <w:r>
        <w:t>– (1) (Değişik Senato 27.12.2016 - 2016</w:t>
      </w:r>
      <w:r>
        <w:t>/09-26.) Öğrencilerin belirlenen ve açıklanan kriterlere göre aldıkları toplam puanları, tercih ettikleri üniversiteler, ilgili üniversitelerin Erasmus kontenjanları, Üniversiteye tahsis edilen hibe miktarı da dikkate alınarak Kurul tarafından yerleştirmel</w:t>
      </w:r>
      <w:r>
        <w:t>er yapılır. Erasmus Kurulu Rektör tarafından atanmış bulunan ve aşağıda belirtilen görevlere sahip dört üyeden (Dış İlişkiler Uygulama ve Araştırma Merkezi Müdürü ile Erasmus Kurum Koordinatörü aynı kişiyse üç üyeden) oluşur:</w:t>
      </w:r>
    </w:p>
    <w:p w14:paraId="2E4D07B4" w14:textId="77777777" w:rsidR="008E059F" w:rsidRDefault="008E059F">
      <w:pPr>
        <w:pStyle w:val="GvdeMetni"/>
        <w:rPr>
          <w:sz w:val="17"/>
        </w:rPr>
      </w:pPr>
    </w:p>
    <w:p w14:paraId="5C2D4594" w14:textId="77777777" w:rsidR="008E059F" w:rsidRDefault="00EA339B">
      <w:pPr>
        <w:pStyle w:val="ListeParagraf"/>
        <w:numPr>
          <w:ilvl w:val="0"/>
          <w:numId w:val="10"/>
        </w:numPr>
        <w:tabs>
          <w:tab w:val="left" w:pos="435"/>
        </w:tabs>
        <w:rPr>
          <w:sz w:val="20"/>
        </w:rPr>
      </w:pPr>
      <w:r>
        <w:rPr>
          <w:sz w:val="20"/>
        </w:rPr>
        <w:t>İlgili Rektör</w:t>
      </w:r>
      <w:r>
        <w:rPr>
          <w:spacing w:val="-2"/>
          <w:sz w:val="20"/>
        </w:rPr>
        <w:t xml:space="preserve"> </w:t>
      </w:r>
      <w:r>
        <w:rPr>
          <w:sz w:val="20"/>
        </w:rPr>
        <w:t>Yardımcısı</w:t>
      </w:r>
    </w:p>
    <w:p w14:paraId="4FD319A7" w14:textId="77777777" w:rsidR="008E059F" w:rsidRDefault="008E059F">
      <w:pPr>
        <w:pStyle w:val="GvdeMetni"/>
        <w:spacing w:before="2"/>
      </w:pPr>
    </w:p>
    <w:p w14:paraId="708C022B" w14:textId="77777777" w:rsidR="008E059F" w:rsidRDefault="00EA339B">
      <w:pPr>
        <w:pStyle w:val="ListeParagraf"/>
        <w:numPr>
          <w:ilvl w:val="0"/>
          <w:numId w:val="10"/>
        </w:numPr>
        <w:tabs>
          <w:tab w:val="left" w:pos="445"/>
        </w:tabs>
        <w:ind w:left="444" w:hanging="229"/>
        <w:rPr>
          <w:sz w:val="20"/>
        </w:rPr>
      </w:pPr>
      <w:r>
        <w:rPr>
          <w:sz w:val="20"/>
        </w:rPr>
        <w:t>Dış İlişkiler Uygulama ve Araştırma Merkezi</w:t>
      </w:r>
      <w:r>
        <w:rPr>
          <w:spacing w:val="-4"/>
          <w:sz w:val="20"/>
        </w:rPr>
        <w:t xml:space="preserve"> </w:t>
      </w:r>
      <w:r>
        <w:rPr>
          <w:sz w:val="20"/>
        </w:rPr>
        <w:t>Müdürü</w:t>
      </w:r>
    </w:p>
    <w:p w14:paraId="463C180B" w14:textId="77777777" w:rsidR="008E059F" w:rsidRDefault="008E059F">
      <w:pPr>
        <w:pStyle w:val="GvdeMetni"/>
        <w:spacing w:before="1"/>
      </w:pPr>
    </w:p>
    <w:p w14:paraId="0A73318B" w14:textId="77777777" w:rsidR="008E059F" w:rsidRDefault="00EA339B">
      <w:pPr>
        <w:pStyle w:val="ListeParagraf"/>
        <w:numPr>
          <w:ilvl w:val="0"/>
          <w:numId w:val="10"/>
        </w:numPr>
        <w:tabs>
          <w:tab w:val="left" w:pos="426"/>
        </w:tabs>
        <w:spacing w:before="1"/>
        <w:ind w:left="425" w:hanging="210"/>
        <w:rPr>
          <w:sz w:val="20"/>
        </w:rPr>
      </w:pPr>
      <w:r>
        <w:rPr>
          <w:sz w:val="20"/>
        </w:rPr>
        <w:t>Erasmus Kurum</w:t>
      </w:r>
      <w:r>
        <w:rPr>
          <w:spacing w:val="-4"/>
          <w:sz w:val="20"/>
        </w:rPr>
        <w:t xml:space="preserve"> </w:t>
      </w:r>
      <w:r>
        <w:rPr>
          <w:sz w:val="20"/>
        </w:rPr>
        <w:t>Koordinatörü</w:t>
      </w:r>
    </w:p>
    <w:p w14:paraId="00406948" w14:textId="77777777" w:rsidR="008E059F" w:rsidRDefault="008E059F">
      <w:pPr>
        <w:pStyle w:val="GvdeMetni"/>
        <w:spacing w:before="10"/>
        <w:rPr>
          <w:sz w:val="19"/>
        </w:rPr>
      </w:pPr>
    </w:p>
    <w:p w14:paraId="4213A315" w14:textId="77777777" w:rsidR="008E059F" w:rsidRDefault="00EA339B">
      <w:pPr>
        <w:pStyle w:val="ListeParagraf"/>
        <w:numPr>
          <w:ilvl w:val="0"/>
          <w:numId w:val="10"/>
        </w:numPr>
        <w:tabs>
          <w:tab w:val="left" w:pos="448"/>
        </w:tabs>
        <w:ind w:left="447" w:hanging="232"/>
        <w:rPr>
          <w:sz w:val="20"/>
        </w:rPr>
      </w:pPr>
      <w:r>
        <w:rPr>
          <w:sz w:val="20"/>
        </w:rPr>
        <w:t>Erasmus Kurum Koordinatör</w:t>
      </w:r>
      <w:r>
        <w:rPr>
          <w:spacing w:val="-1"/>
          <w:sz w:val="20"/>
        </w:rPr>
        <w:t xml:space="preserve"> </w:t>
      </w:r>
      <w:r>
        <w:rPr>
          <w:sz w:val="20"/>
        </w:rPr>
        <w:t>Yardımcısı</w:t>
      </w:r>
    </w:p>
    <w:p w14:paraId="066431C1" w14:textId="77777777" w:rsidR="008E059F" w:rsidRDefault="008E059F">
      <w:pPr>
        <w:pStyle w:val="GvdeMetni"/>
        <w:spacing w:before="1"/>
      </w:pPr>
    </w:p>
    <w:p w14:paraId="4CD561CD" w14:textId="77777777" w:rsidR="008E059F" w:rsidRDefault="00EA339B">
      <w:pPr>
        <w:pStyle w:val="GvdeMetni"/>
        <w:spacing w:before="1" w:line="276" w:lineRule="auto"/>
        <w:ind w:left="216" w:right="279"/>
        <w:jc w:val="both"/>
      </w:pPr>
      <w:r>
        <w:t>(2) Kurul, Erasmus Öğrenci Hareketliliğinin planlanması ve uygulanması ile ilgili yıllık çalışma takvimini belirler ve duyurur.</w:t>
      </w:r>
    </w:p>
    <w:p w14:paraId="3115C127" w14:textId="77777777" w:rsidR="008E059F" w:rsidRDefault="008E059F">
      <w:pPr>
        <w:spacing w:line="276" w:lineRule="auto"/>
        <w:jc w:val="both"/>
        <w:sectPr w:rsidR="008E059F">
          <w:pgSz w:w="11910" w:h="16840"/>
          <w:pgMar w:top="1320" w:right="860" w:bottom="280" w:left="1200" w:header="749" w:footer="0" w:gutter="0"/>
          <w:cols w:space="708"/>
        </w:sectPr>
      </w:pPr>
    </w:p>
    <w:p w14:paraId="2A9FBA2E" w14:textId="77777777" w:rsidR="008E059F" w:rsidRDefault="00EA339B">
      <w:pPr>
        <w:pStyle w:val="Balk1"/>
        <w:spacing w:before="89"/>
        <w:jc w:val="both"/>
      </w:pPr>
      <w:r>
        <w:lastRenderedPageBreak/>
        <w:t>Programa seçilen öğrencilerin işlemleri:</w:t>
      </w:r>
    </w:p>
    <w:p w14:paraId="4CB6355A" w14:textId="77777777" w:rsidR="008E059F" w:rsidRDefault="008E059F">
      <w:pPr>
        <w:pStyle w:val="GvdeMetni"/>
        <w:spacing w:before="2"/>
        <w:rPr>
          <w:b/>
        </w:rPr>
      </w:pPr>
    </w:p>
    <w:p w14:paraId="052991D8" w14:textId="77777777" w:rsidR="008E059F" w:rsidRDefault="00EA339B">
      <w:pPr>
        <w:pStyle w:val="GvdeMetni"/>
        <w:spacing w:line="276" w:lineRule="auto"/>
        <w:ind w:left="216" w:right="273"/>
        <w:jc w:val="both"/>
      </w:pPr>
      <w:r>
        <w:rPr>
          <w:b/>
        </w:rPr>
        <w:t xml:space="preserve">MADDE 8 </w:t>
      </w:r>
      <w:r>
        <w:t>– (1) Öğrenciler bir yarıyıl veya iki yarıyıl (3 aydan az ve 12 aydan fazla olmamak şartıyla) süreyle program kapsamında yurtdışında öğrenim görebilirler. Bir öğrenci öğrenim süresince bir</w:t>
      </w:r>
      <w:r>
        <w:t>den çok defa hibeli veya hibesiz Erasmus Programından yararlanabilir. Ancak, aynı öğrenim kademesinde ikinci kez programdan yararlanmak üzere başvuruda bulunan öğrencinin genel puanından 10 puan eksiltme yapılır. Aynı öğrenim kademesinde ikiden daha çok ke</w:t>
      </w:r>
      <w:r>
        <w:t>z programdan yararlanmak üzere başvuru durumunda -öğrenim ya da staj fark etmeksizin- faaliyet başına 10'ar puan eksiltme yapılır.</w:t>
      </w:r>
    </w:p>
    <w:p w14:paraId="26CCBE46" w14:textId="77777777" w:rsidR="008E059F" w:rsidRDefault="008E059F">
      <w:pPr>
        <w:pStyle w:val="GvdeMetni"/>
        <w:spacing w:before="2"/>
        <w:rPr>
          <w:sz w:val="17"/>
        </w:rPr>
      </w:pPr>
    </w:p>
    <w:p w14:paraId="17AC3CC1" w14:textId="77777777" w:rsidR="008E059F" w:rsidRDefault="00EA339B">
      <w:pPr>
        <w:pStyle w:val="ListeParagraf"/>
        <w:numPr>
          <w:ilvl w:val="0"/>
          <w:numId w:val="9"/>
        </w:numPr>
        <w:tabs>
          <w:tab w:val="left" w:pos="581"/>
        </w:tabs>
        <w:spacing w:line="276" w:lineRule="auto"/>
        <w:ind w:right="271" w:firstLine="0"/>
        <w:jc w:val="both"/>
        <w:rPr>
          <w:sz w:val="20"/>
        </w:rPr>
      </w:pPr>
      <w:r>
        <w:rPr>
          <w:sz w:val="20"/>
        </w:rPr>
        <w:t>Öğrencinin gideceği kurumda alacağı derslerin Üniversitemizde ilgili yarıyıl/yılda almakla yükümlü olduğu derslerle isim ola</w:t>
      </w:r>
      <w:r>
        <w:rPr>
          <w:sz w:val="20"/>
        </w:rPr>
        <w:t>rak birebir örtüşmesi gerekmez, ancak içerik olarak en yakın derslerin seçilmesine özen gösterilmesi gerekir. Kapsamı yönünden uygun olması durumunda bir ders, birden fazla dersle eşleştirilebilir.</w:t>
      </w:r>
    </w:p>
    <w:p w14:paraId="45A369DE" w14:textId="77777777" w:rsidR="008E059F" w:rsidRDefault="008E059F">
      <w:pPr>
        <w:pStyle w:val="GvdeMetni"/>
        <w:spacing w:before="10"/>
        <w:rPr>
          <w:sz w:val="16"/>
        </w:rPr>
      </w:pPr>
    </w:p>
    <w:p w14:paraId="29213481" w14:textId="77777777" w:rsidR="008E059F" w:rsidRDefault="00EA339B">
      <w:pPr>
        <w:pStyle w:val="ListeParagraf"/>
        <w:numPr>
          <w:ilvl w:val="0"/>
          <w:numId w:val="9"/>
        </w:numPr>
        <w:tabs>
          <w:tab w:val="left" w:pos="593"/>
        </w:tabs>
        <w:spacing w:line="278" w:lineRule="auto"/>
        <w:ind w:right="283" w:firstLine="0"/>
        <w:jc w:val="both"/>
        <w:rPr>
          <w:sz w:val="20"/>
        </w:rPr>
      </w:pPr>
      <w:r>
        <w:rPr>
          <w:sz w:val="20"/>
        </w:rPr>
        <w:t>Yerleştirilen öğrencilerin gidecekleri üniversitede alacakları ders programı, tez ve/veya akademik danışmanları ile işbirliği içinde Bölüm/EABD Erasmus Koordinatörü tarafından</w:t>
      </w:r>
      <w:r>
        <w:rPr>
          <w:spacing w:val="-14"/>
          <w:sz w:val="20"/>
        </w:rPr>
        <w:t xml:space="preserve"> </w:t>
      </w:r>
      <w:r>
        <w:rPr>
          <w:sz w:val="20"/>
        </w:rPr>
        <w:t>kararlaştırılır.</w:t>
      </w:r>
    </w:p>
    <w:p w14:paraId="79E7FDF2" w14:textId="77777777" w:rsidR="008E059F" w:rsidRDefault="00EA339B">
      <w:pPr>
        <w:pStyle w:val="ListeParagraf"/>
        <w:numPr>
          <w:ilvl w:val="0"/>
          <w:numId w:val="9"/>
        </w:numPr>
        <w:tabs>
          <w:tab w:val="left" w:pos="600"/>
        </w:tabs>
        <w:spacing w:before="196" w:line="276" w:lineRule="auto"/>
        <w:ind w:right="275" w:firstLine="0"/>
        <w:jc w:val="both"/>
        <w:rPr>
          <w:sz w:val="20"/>
        </w:rPr>
      </w:pPr>
      <w:r>
        <w:rPr>
          <w:sz w:val="20"/>
        </w:rPr>
        <w:t>Kararlaştırılan ders programı Öğrenim Anlaşması (Learning Agree</w:t>
      </w:r>
      <w:r>
        <w:rPr>
          <w:sz w:val="20"/>
        </w:rPr>
        <w:t xml:space="preserve">ment)'nda belirtilir ve öğrenci, Bölüm/EABD Erasmus Koordinatörü ve Üniversite Erasmus Koordinatörü tarafından imzalanır. Erasmus öğrencilerinin 1 dönemde karşı kurumdan aldığı derslerin AKTS (ECTS) kredileri toplamı, Üniversitede aynı dönemdeki derslerin </w:t>
      </w:r>
      <w:r>
        <w:rPr>
          <w:sz w:val="20"/>
        </w:rPr>
        <w:t>AKTS (ECTS) kredileri toplamına eşlenir. Üniversitede eşlenik gösterilen AKTS (ECTS) kredileri toplamının 30 olmasına dikkat edilir. Üniversitedeki eşlenik derslerin toplam AKTS (ECTS) kredisi 34’ten fazla</w:t>
      </w:r>
      <w:r>
        <w:rPr>
          <w:spacing w:val="-1"/>
          <w:sz w:val="20"/>
        </w:rPr>
        <w:t xml:space="preserve"> </w:t>
      </w:r>
      <w:r>
        <w:rPr>
          <w:sz w:val="20"/>
        </w:rPr>
        <w:t>olamaz.</w:t>
      </w:r>
    </w:p>
    <w:p w14:paraId="540618E3" w14:textId="77777777" w:rsidR="008E059F" w:rsidRDefault="008E059F">
      <w:pPr>
        <w:pStyle w:val="GvdeMetni"/>
        <w:spacing w:before="2"/>
        <w:rPr>
          <w:sz w:val="17"/>
        </w:rPr>
      </w:pPr>
    </w:p>
    <w:p w14:paraId="08F58C91" w14:textId="77777777" w:rsidR="008E059F" w:rsidRDefault="00EA339B">
      <w:pPr>
        <w:pStyle w:val="ListeParagraf"/>
        <w:numPr>
          <w:ilvl w:val="0"/>
          <w:numId w:val="9"/>
        </w:numPr>
        <w:tabs>
          <w:tab w:val="left" w:pos="555"/>
        </w:tabs>
        <w:spacing w:line="276" w:lineRule="auto"/>
        <w:ind w:right="281" w:firstLine="0"/>
        <w:jc w:val="both"/>
        <w:rPr>
          <w:sz w:val="20"/>
        </w:rPr>
      </w:pPr>
      <w:r>
        <w:rPr>
          <w:sz w:val="20"/>
        </w:rPr>
        <w:t>Erasmus programı kapsamında yurtdışında a</w:t>
      </w:r>
      <w:r>
        <w:rPr>
          <w:sz w:val="20"/>
        </w:rPr>
        <w:t>lınacak dersler ve bu derslerin Üniversitedeki karşılıkları AKTS (ECTS) kredileri dikkate alınarak Tanınma Belgesinde (Recognition Sheet)</w:t>
      </w:r>
      <w:r>
        <w:rPr>
          <w:spacing w:val="-11"/>
          <w:sz w:val="20"/>
        </w:rPr>
        <w:t xml:space="preserve"> </w:t>
      </w:r>
      <w:r>
        <w:rPr>
          <w:sz w:val="20"/>
        </w:rPr>
        <w:t>belirtilir.</w:t>
      </w:r>
    </w:p>
    <w:p w14:paraId="4F1E50D2" w14:textId="77777777" w:rsidR="008E059F" w:rsidRDefault="008E059F">
      <w:pPr>
        <w:pStyle w:val="GvdeMetni"/>
        <w:spacing w:before="1"/>
        <w:rPr>
          <w:sz w:val="17"/>
        </w:rPr>
      </w:pPr>
    </w:p>
    <w:p w14:paraId="590F6054" w14:textId="77777777" w:rsidR="008E059F" w:rsidRDefault="00EA339B">
      <w:pPr>
        <w:pStyle w:val="ListeParagraf"/>
        <w:numPr>
          <w:ilvl w:val="0"/>
          <w:numId w:val="9"/>
        </w:numPr>
        <w:tabs>
          <w:tab w:val="left" w:pos="570"/>
        </w:tabs>
        <w:spacing w:line="276" w:lineRule="auto"/>
        <w:ind w:right="282" w:firstLine="0"/>
        <w:jc w:val="both"/>
        <w:rPr>
          <w:sz w:val="20"/>
        </w:rPr>
      </w:pPr>
      <w:r>
        <w:rPr>
          <w:sz w:val="20"/>
        </w:rPr>
        <w:t>Tanınma Belgesinde yurtdışında alınacak derslerin Üniversitedeki karşılıkları, öğrencinin yurt dışına çıktığı ve kayıtlı olduğu yarıyıla ait birim yönetim kurulu tarafından kabul edilmiş derslerden</w:t>
      </w:r>
      <w:r>
        <w:rPr>
          <w:spacing w:val="-26"/>
          <w:sz w:val="20"/>
        </w:rPr>
        <w:t xml:space="preserve"> </w:t>
      </w:r>
      <w:r>
        <w:rPr>
          <w:sz w:val="20"/>
        </w:rPr>
        <w:t>seçilir.</w:t>
      </w:r>
    </w:p>
    <w:p w14:paraId="3DEF60C4" w14:textId="77777777" w:rsidR="008E059F" w:rsidRDefault="008E059F">
      <w:pPr>
        <w:pStyle w:val="GvdeMetni"/>
        <w:rPr>
          <w:sz w:val="17"/>
        </w:rPr>
      </w:pPr>
    </w:p>
    <w:p w14:paraId="23600869" w14:textId="77777777" w:rsidR="008E059F" w:rsidRDefault="00EA339B">
      <w:pPr>
        <w:pStyle w:val="ListeParagraf"/>
        <w:numPr>
          <w:ilvl w:val="0"/>
          <w:numId w:val="9"/>
        </w:numPr>
        <w:tabs>
          <w:tab w:val="left" w:pos="558"/>
        </w:tabs>
        <w:spacing w:before="1" w:line="276" w:lineRule="auto"/>
        <w:ind w:right="283" w:firstLine="0"/>
        <w:jc w:val="both"/>
        <w:rPr>
          <w:sz w:val="20"/>
        </w:rPr>
      </w:pPr>
      <w:r>
        <w:rPr>
          <w:sz w:val="20"/>
        </w:rPr>
        <w:t>Tanınma Belgesinde Üniversitede eşlenik olarak g</w:t>
      </w:r>
      <w:r>
        <w:rPr>
          <w:sz w:val="20"/>
        </w:rPr>
        <w:t>österilen derslerin AKTS (ECTS) kredi toplamı, yurt dışında alınan derslerin AKTS (ECTS) kredi toplamından fazla</w:t>
      </w:r>
      <w:r>
        <w:rPr>
          <w:spacing w:val="-3"/>
          <w:sz w:val="20"/>
        </w:rPr>
        <w:t xml:space="preserve"> </w:t>
      </w:r>
      <w:r>
        <w:rPr>
          <w:sz w:val="20"/>
        </w:rPr>
        <w:t>olamaz.</w:t>
      </w:r>
    </w:p>
    <w:p w14:paraId="362F6961" w14:textId="77777777" w:rsidR="008E059F" w:rsidRDefault="008E059F">
      <w:pPr>
        <w:pStyle w:val="GvdeMetni"/>
        <w:rPr>
          <w:sz w:val="17"/>
        </w:rPr>
      </w:pPr>
    </w:p>
    <w:p w14:paraId="53EA81C8" w14:textId="491E4FBA" w:rsidR="008E059F" w:rsidRDefault="00EA339B">
      <w:pPr>
        <w:pStyle w:val="ListeParagraf"/>
        <w:numPr>
          <w:ilvl w:val="0"/>
          <w:numId w:val="9"/>
        </w:numPr>
        <w:tabs>
          <w:tab w:val="left" w:pos="533"/>
        </w:tabs>
        <w:spacing w:before="1" w:line="276" w:lineRule="auto"/>
        <w:ind w:right="272" w:firstLine="0"/>
        <w:jc w:val="both"/>
        <w:rPr>
          <w:sz w:val="20"/>
        </w:rPr>
      </w:pPr>
      <w:r>
        <w:rPr>
          <w:sz w:val="20"/>
        </w:rPr>
        <w:t xml:space="preserve">Öğrencinin üst sınıftan ders alabilmesi için, 02.04.2007 tarih ve 26481 sayılı Resmi Gazetede yayımlanan </w:t>
      </w:r>
      <w:r w:rsidR="005546AB">
        <w:rPr>
          <w:sz w:val="20"/>
        </w:rPr>
        <w:t xml:space="preserve">Tekirdağ </w:t>
      </w:r>
      <w:r>
        <w:rPr>
          <w:sz w:val="20"/>
        </w:rPr>
        <w:t>Namık Kemal Üniversitesi Lisa</w:t>
      </w:r>
      <w:r>
        <w:rPr>
          <w:sz w:val="20"/>
        </w:rPr>
        <w:t>ns Eğitim-Öğretim ve Sınav Yönetmeliği 16/2 maddesindeki koşulları yerine getiriyor olması gerekmektedir. Aksi takdirde, misafir olunan yurt dışı üniversitede alınan dersler NKÜ’ de bir üst sınıfın ders ya da derslerine eşlenik olarak</w:t>
      </w:r>
      <w:r>
        <w:rPr>
          <w:spacing w:val="-7"/>
          <w:sz w:val="20"/>
        </w:rPr>
        <w:t xml:space="preserve"> </w:t>
      </w:r>
      <w:r>
        <w:rPr>
          <w:sz w:val="20"/>
        </w:rPr>
        <w:t>gösterilemez.</w:t>
      </w:r>
    </w:p>
    <w:p w14:paraId="6681C3CC" w14:textId="77777777" w:rsidR="008E059F" w:rsidRDefault="008E059F">
      <w:pPr>
        <w:pStyle w:val="GvdeMetni"/>
        <w:spacing w:before="1"/>
        <w:rPr>
          <w:sz w:val="17"/>
        </w:rPr>
      </w:pPr>
    </w:p>
    <w:p w14:paraId="1B4169C4" w14:textId="77777777" w:rsidR="008E059F" w:rsidRDefault="00EA339B">
      <w:pPr>
        <w:pStyle w:val="ListeParagraf"/>
        <w:numPr>
          <w:ilvl w:val="0"/>
          <w:numId w:val="9"/>
        </w:numPr>
        <w:tabs>
          <w:tab w:val="left" w:pos="570"/>
        </w:tabs>
        <w:spacing w:line="276" w:lineRule="auto"/>
        <w:ind w:right="279" w:firstLine="0"/>
        <w:jc w:val="both"/>
        <w:rPr>
          <w:sz w:val="20"/>
        </w:rPr>
      </w:pPr>
      <w:r>
        <w:rPr>
          <w:sz w:val="20"/>
        </w:rPr>
        <w:t>Erasmus programı kapsamında yurt dışına giden lisans öğrencileri, içeriği uyması koşulu ile misafir oldukları yurt dışı yükseköğrenim kurumunun üst ya da alt sınıflarından ders</w:t>
      </w:r>
      <w:r>
        <w:rPr>
          <w:spacing w:val="-18"/>
          <w:sz w:val="20"/>
        </w:rPr>
        <w:t xml:space="preserve"> </w:t>
      </w:r>
      <w:r>
        <w:rPr>
          <w:sz w:val="20"/>
        </w:rPr>
        <w:t>alabilir.</w:t>
      </w:r>
    </w:p>
    <w:p w14:paraId="378332F6" w14:textId="77777777" w:rsidR="008E059F" w:rsidRDefault="008E059F">
      <w:pPr>
        <w:pStyle w:val="GvdeMetni"/>
        <w:rPr>
          <w:sz w:val="17"/>
        </w:rPr>
      </w:pPr>
    </w:p>
    <w:p w14:paraId="3F46C808" w14:textId="77777777" w:rsidR="008E059F" w:rsidRDefault="00EA339B">
      <w:pPr>
        <w:pStyle w:val="ListeParagraf"/>
        <w:numPr>
          <w:ilvl w:val="0"/>
          <w:numId w:val="8"/>
        </w:numPr>
        <w:tabs>
          <w:tab w:val="left" w:pos="444"/>
        </w:tabs>
        <w:spacing w:before="1" w:line="276" w:lineRule="auto"/>
        <w:ind w:right="277" w:firstLine="0"/>
        <w:jc w:val="both"/>
        <w:rPr>
          <w:sz w:val="20"/>
        </w:rPr>
      </w:pPr>
      <w:r>
        <w:rPr>
          <w:sz w:val="20"/>
        </w:rPr>
        <w:t xml:space="preserve">Erasmus lisans öğrencileri, NKÜ Eğitim-Öğretim ve Sınav Yönetmeliği </w:t>
      </w:r>
      <w:r>
        <w:rPr>
          <w:sz w:val="20"/>
        </w:rPr>
        <w:t>16/2 maddesindeki koşulları yerine getiriyorsa, Tanınma Belgesinde NKÜ’ de bir üst sınıfın dersini, yurt dışında alınacak derslere (içerik uyması koşulu ile) eşlenik olarak</w:t>
      </w:r>
      <w:r>
        <w:rPr>
          <w:spacing w:val="-3"/>
          <w:sz w:val="20"/>
        </w:rPr>
        <w:t xml:space="preserve"> </w:t>
      </w:r>
      <w:r>
        <w:rPr>
          <w:sz w:val="20"/>
        </w:rPr>
        <w:t>gösterebilir.</w:t>
      </w:r>
    </w:p>
    <w:p w14:paraId="1974AB62" w14:textId="77777777" w:rsidR="008E059F" w:rsidRDefault="008E059F">
      <w:pPr>
        <w:pStyle w:val="GvdeMetni"/>
        <w:spacing w:before="11"/>
        <w:rPr>
          <w:sz w:val="16"/>
        </w:rPr>
      </w:pPr>
    </w:p>
    <w:p w14:paraId="2BDF853A" w14:textId="77777777" w:rsidR="008E059F" w:rsidRDefault="00EA339B">
      <w:pPr>
        <w:pStyle w:val="ListeParagraf"/>
        <w:numPr>
          <w:ilvl w:val="0"/>
          <w:numId w:val="8"/>
        </w:numPr>
        <w:tabs>
          <w:tab w:val="left" w:pos="445"/>
        </w:tabs>
        <w:ind w:left="444" w:hanging="229"/>
        <w:jc w:val="both"/>
        <w:rPr>
          <w:sz w:val="20"/>
        </w:rPr>
      </w:pPr>
      <w:r>
        <w:rPr>
          <w:sz w:val="20"/>
        </w:rPr>
        <w:t>Bu hükümler ön lisans ve lisansüstü öğrencileri için geçerli</w:t>
      </w:r>
      <w:r>
        <w:rPr>
          <w:spacing w:val="-10"/>
          <w:sz w:val="20"/>
        </w:rPr>
        <w:t xml:space="preserve"> </w:t>
      </w:r>
      <w:r>
        <w:rPr>
          <w:sz w:val="20"/>
        </w:rPr>
        <w:t>değildi</w:t>
      </w:r>
      <w:r>
        <w:rPr>
          <w:sz w:val="20"/>
        </w:rPr>
        <w:t>r.</w:t>
      </w:r>
    </w:p>
    <w:p w14:paraId="3906C582" w14:textId="77777777" w:rsidR="008E059F" w:rsidRDefault="008E059F">
      <w:pPr>
        <w:pStyle w:val="GvdeMetni"/>
        <w:spacing w:before="2"/>
      </w:pPr>
    </w:p>
    <w:p w14:paraId="53D3D1FC" w14:textId="77777777" w:rsidR="008E059F" w:rsidRDefault="00EA339B">
      <w:pPr>
        <w:pStyle w:val="ListeParagraf"/>
        <w:numPr>
          <w:ilvl w:val="0"/>
          <w:numId w:val="9"/>
        </w:numPr>
        <w:tabs>
          <w:tab w:val="left" w:pos="659"/>
        </w:tabs>
        <w:spacing w:line="276" w:lineRule="auto"/>
        <w:ind w:right="272" w:firstLine="0"/>
        <w:jc w:val="both"/>
        <w:rPr>
          <w:sz w:val="20"/>
        </w:rPr>
      </w:pPr>
      <w:r>
        <w:rPr>
          <w:sz w:val="20"/>
        </w:rPr>
        <w:t>(Değişik Senato 27.12.2016 - 2016/09-26.) Tanınma Belgesi öğrenci ve bölüm/program koordinatörü tarafından imzalanarak Fakülte/Enstitü/Yüksek okul/Meslek Yüksek okul koordinatörüne gönderilir. Tanınma Belgesi Fakülte/Enstitü/Yüksek okul/Meslek Yüksekok</w:t>
      </w:r>
      <w:r>
        <w:rPr>
          <w:sz w:val="20"/>
        </w:rPr>
        <w:t>ulu koordinatörü tarafından "NKÜ Avrupa Birliği Eğitim Ve Gençlik Programları Erasmus Plus Programı Ana Eylem 1 - KA1 Eğitim ve Öğretim Alanında Bireylerin Öğrenme Hareketliliği Yönergesi" dikkate alınarak incelenir ve Birim Yöneticisi'ne (Fakülte Dekanı/E</w:t>
      </w:r>
      <w:r>
        <w:rPr>
          <w:sz w:val="20"/>
        </w:rPr>
        <w:t>nstitü Müdürü/Yüksekokul-Meslek Yüksek Okulu Müdürü) imzalatılarak Rektörlük Dış İlişkiler Uygulama</w:t>
      </w:r>
      <w:r>
        <w:rPr>
          <w:spacing w:val="34"/>
          <w:sz w:val="20"/>
        </w:rPr>
        <w:t xml:space="preserve"> </w:t>
      </w:r>
      <w:r>
        <w:rPr>
          <w:sz w:val="20"/>
        </w:rPr>
        <w:t>ve</w:t>
      </w:r>
      <w:r>
        <w:rPr>
          <w:spacing w:val="33"/>
          <w:sz w:val="20"/>
        </w:rPr>
        <w:t xml:space="preserve"> </w:t>
      </w:r>
      <w:r>
        <w:rPr>
          <w:sz w:val="20"/>
        </w:rPr>
        <w:t>Araştırma</w:t>
      </w:r>
      <w:r>
        <w:rPr>
          <w:spacing w:val="37"/>
          <w:sz w:val="20"/>
        </w:rPr>
        <w:t xml:space="preserve"> </w:t>
      </w:r>
      <w:r>
        <w:rPr>
          <w:sz w:val="20"/>
        </w:rPr>
        <w:t>Merkezi</w:t>
      </w:r>
      <w:r>
        <w:rPr>
          <w:spacing w:val="34"/>
          <w:sz w:val="20"/>
        </w:rPr>
        <w:t xml:space="preserve"> </w:t>
      </w:r>
      <w:r>
        <w:rPr>
          <w:sz w:val="20"/>
        </w:rPr>
        <w:t>/</w:t>
      </w:r>
      <w:r>
        <w:rPr>
          <w:spacing w:val="37"/>
          <w:sz w:val="20"/>
        </w:rPr>
        <w:t xml:space="preserve"> </w:t>
      </w:r>
      <w:r>
        <w:rPr>
          <w:sz w:val="20"/>
        </w:rPr>
        <w:t>Eramus</w:t>
      </w:r>
      <w:r>
        <w:rPr>
          <w:spacing w:val="37"/>
          <w:sz w:val="20"/>
        </w:rPr>
        <w:t xml:space="preserve"> </w:t>
      </w:r>
      <w:r>
        <w:rPr>
          <w:sz w:val="20"/>
        </w:rPr>
        <w:t>Ofisine</w:t>
      </w:r>
      <w:r>
        <w:rPr>
          <w:spacing w:val="33"/>
          <w:sz w:val="20"/>
        </w:rPr>
        <w:t xml:space="preserve"> </w:t>
      </w:r>
      <w:r>
        <w:rPr>
          <w:sz w:val="20"/>
        </w:rPr>
        <w:t>gönderilir.</w:t>
      </w:r>
      <w:r>
        <w:rPr>
          <w:spacing w:val="34"/>
          <w:sz w:val="20"/>
        </w:rPr>
        <w:t xml:space="preserve"> </w:t>
      </w:r>
      <w:r>
        <w:rPr>
          <w:sz w:val="20"/>
        </w:rPr>
        <w:t>Erasmus</w:t>
      </w:r>
      <w:r>
        <w:rPr>
          <w:spacing w:val="35"/>
          <w:sz w:val="20"/>
        </w:rPr>
        <w:t xml:space="preserve"> </w:t>
      </w:r>
      <w:r>
        <w:rPr>
          <w:sz w:val="20"/>
        </w:rPr>
        <w:t>Ofisi</w:t>
      </w:r>
      <w:r>
        <w:rPr>
          <w:spacing w:val="34"/>
          <w:sz w:val="20"/>
        </w:rPr>
        <w:t xml:space="preserve"> </w:t>
      </w:r>
      <w:r>
        <w:rPr>
          <w:sz w:val="20"/>
        </w:rPr>
        <w:t>tanınma</w:t>
      </w:r>
      <w:r>
        <w:rPr>
          <w:spacing w:val="35"/>
          <w:sz w:val="20"/>
        </w:rPr>
        <w:t xml:space="preserve"> </w:t>
      </w:r>
      <w:r>
        <w:rPr>
          <w:sz w:val="20"/>
        </w:rPr>
        <w:t>belgesinin,</w:t>
      </w:r>
      <w:r>
        <w:rPr>
          <w:spacing w:val="34"/>
          <w:sz w:val="20"/>
        </w:rPr>
        <w:t xml:space="preserve"> </w:t>
      </w:r>
      <w:r>
        <w:rPr>
          <w:sz w:val="20"/>
        </w:rPr>
        <w:t>Erasmus</w:t>
      </w:r>
    </w:p>
    <w:p w14:paraId="002B8E83" w14:textId="77777777" w:rsidR="008E059F" w:rsidRDefault="008E059F">
      <w:pPr>
        <w:spacing w:line="276" w:lineRule="auto"/>
        <w:jc w:val="both"/>
        <w:rPr>
          <w:sz w:val="20"/>
        </w:rPr>
        <w:sectPr w:rsidR="008E059F">
          <w:pgSz w:w="11910" w:h="16840"/>
          <w:pgMar w:top="1320" w:right="860" w:bottom="280" w:left="1200" w:header="749" w:footer="0" w:gutter="0"/>
          <w:cols w:space="708"/>
        </w:sectPr>
      </w:pPr>
    </w:p>
    <w:p w14:paraId="2206E287" w14:textId="77777777" w:rsidR="008E059F" w:rsidRDefault="00EA339B">
      <w:pPr>
        <w:pStyle w:val="GvdeMetni"/>
        <w:spacing w:before="89" w:line="278" w:lineRule="auto"/>
        <w:ind w:left="216" w:right="280"/>
        <w:jc w:val="both"/>
      </w:pPr>
      <w:r>
        <w:lastRenderedPageBreak/>
        <w:t>Kurum Koordinatörü ve Erasmus programından sor</w:t>
      </w:r>
      <w:r>
        <w:t>umlu Rektör Yardımcısı tarafından onaylanmasını/imzalanmasını sağlar.</w:t>
      </w:r>
    </w:p>
    <w:p w14:paraId="7D2D0B97" w14:textId="77777777" w:rsidR="008E059F" w:rsidRDefault="00EA339B">
      <w:pPr>
        <w:pStyle w:val="ListeParagraf"/>
        <w:numPr>
          <w:ilvl w:val="0"/>
          <w:numId w:val="9"/>
        </w:numPr>
        <w:tabs>
          <w:tab w:val="left" w:pos="637"/>
        </w:tabs>
        <w:spacing w:before="196" w:line="278" w:lineRule="auto"/>
        <w:ind w:right="280" w:firstLine="0"/>
        <w:jc w:val="both"/>
        <w:rPr>
          <w:sz w:val="20"/>
        </w:rPr>
      </w:pPr>
      <w:r>
        <w:rPr>
          <w:sz w:val="20"/>
        </w:rPr>
        <w:t>Program kapsamında giden öğrencilere, Türkiye Ulusal Ajansı'nın belirlediği hüküm ve kriterlere uymak suretiyle Üniversite tarafından her yıl için belirlenen usül ve miktarlarda hibe öde</w:t>
      </w:r>
      <w:r>
        <w:rPr>
          <w:sz w:val="20"/>
        </w:rPr>
        <w:t>mesi</w:t>
      </w:r>
      <w:r>
        <w:rPr>
          <w:spacing w:val="-21"/>
          <w:sz w:val="20"/>
        </w:rPr>
        <w:t xml:space="preserve"> </w:t>
      </w:r>
      <w:r>
        <w:rPr>
          <w:sz w:val="20"/>
        </w:rPr>
        <w:t>yapılır.</w:t>
      </w:r>
    </w:p>
    <w:p w14:paraId="44229112" w14:textId="77777777" w:rsidR="008E059F" w:rsidRDefault="00EA339B">
      <w:pPr>
        <w:pStyle w:val="ListeParagraf"/>
        <w:numPr>
          <w:ilvl w:val="0"/>
          <w:numId w:val="9"/>
        </w:numPr>
        <w:tabs>
          <w:tab w:val="left" w:pos="649"/>
        </w:tabs>
        <w:spacing w:before="195" w:line="278" w:lineRule="auto"/>
        <w:ind w:right="283" w:firstLine="0"/>
        <w:jc w:val="both"/>
        <w:rPr>
          <w:sz w:val="20"/>
        </w:rPr>
      </w:pPr>
      <w:r>
        <w:rPr>
          <w:sz w:val="20"/>
        </w:rPr>
        <w:t>Hibe, vergi, sosyal güvenlik ve/veya diğer sosyal giderler, idari yönetim veya kayıt ücreti gibi herhangi bir kesintiye tabi tutulmaksızın Üniversite aracılığıyla</w:t>
      </w:r>
      <w:r>
        <w:rPr>
          <w:spacing w:val="-5"/>
          <w:sz w:val="20"/>
        </w:rPr>
        <w:t xml:space="preserve"> </w:t>
      </w:r>
      <w:r>
        <w:rPr>
          <w:sz w:val="20"/>
        </w:rPr>
        <w:t>ödenir.</w:t>
      </w:r>
    </w:p>
    <w:p w14:paraId="7D244B0F" w14:textId="77777777" w:rsidR="008E059F" w:rsidRDefault="00EA339B">
      <w:pPr>
        <w:pStyle w:val="ListeParagraf"/>
        <w:numPr>
          <w:ilvl w:val="0"/>
          <w:numId w:val="9"/>
        </w:numPr>
        <w:tabs>
          <w:tab w:val="left" w:pos="723"/>
        </w:tabs>
        <w:spacing w:before="197" w:line="276" w:lineRule="auto"/>
        <w:ind w:right="276" w:firstLine="0"/>
        <w:jc w:val="both"/>
        <w:rPr>
          <w:sz w:val="20"/>
        </w:rPr>
      </w:pPr>
      <w:r>
        <w:rPr>
          <w:sz w:val="20"/>
        </w:rPr>
        <w:t>Öğrencinin yurt dışındaki öğrenimini herhangi bir nedenle tamamlamaması veya çalışmalarını tamamlayamaması veya Türkiye Ulusal Ajansı'nın belirlediği hüküm ve kriterlere uymak suretiyle Üniversite tarafından belirlenen ölçütler çerçevesinde başarılı olamam</w:t>
      </w:r>
      <w:r>
        <w:rPr>
          <w:sz w:val="20"/>
        </w:rPr>
        <w:t>ası durumunda, ödenen hibenin bir kısmının ya da tamamının geri ödenmesi ilgili öğrenciden talep</w:t>
      </w:r>
      <w:r>
        <w:rPr>
          <w:spacing w:val="-7"/>
          <w:sz w:val="20"/>
        </w:rPr>
        <w:t xml:space="preserve"> </w:t>
      </w:r>
      <w:r>
        <w:rPr>
          <w:sz w:val="20"/>
        </w:rPr>
        <w:t>edilebilir.</w:t>
      </w:r>
    </w:p>
    <w:p w14:paraId="74607163" w14:textId="77777777" w:rsidR="008E059F" w:rsidRDefault="008E059F">
      <w:pPr>
        <w:pStyle w:val="GvdeMetni"/>
        <w:spacing w:before="11"/>
        <w:rPr>
          <w:sz w:val="16"/>
        </w:rPr>
      </w:pPr>
    </w:p>
    <w:p w14:paraId="32EAD562" w14:textId="77777777" w:rsidR="008E059F" w:rsidRDefault="00EA339B">
      <w:pPr>
        <w:pStyle w:val="ListeParagraf"/>
        <w:numPr>
          <w:ilvl w:val="0"/>
          <w:numId w:val="9"/>
        </w:numPr>
        <w:tabs>
          <w:tab w:val="left" w:pos="646"/>
        </w:tabs>
        <w:spacing w:line="276" w:lineRule="auto"/>
        <w:ind w:right="272" w:firstLine="0"/>
        <w:jc w:val="both"/>
        <w:rPr>
          <w:sz w:val="20"/>
        </w:rPr>
      </w:pPr>
      <w:r>
        <w:rPr>
          <w:sz w:val="20"/>
        </w:rPr>
        <w:t>Her öğrenci Erasmus hibesi almadan önce üniversite ile bir “Hareketlilik (hibe) sözleşmesi” imzalar. Bu sözleşme ile öğrencinin Erasmus programına</w:t>
      </w:r>
      <w:r>
        <w:rPr>
          <w:sz w:val="20"/>
        </w:rPr>
        <w:t xml:space="preserve"> katılacağı kesinleşir. Hareketlilik sözleşmesi imzalayan öğrencilerin isimleri Erasmus Ofisi tarafından Öğrenci İşleri Dairesi Başkanlığı'na</w:t>
      </w:r>
      <w:r>
        <w:rPr>
          <w:spacing w:val="-11"/>
          <w:sz w:val="20"/>
        </w:rPr>
        <w:t xml:space="preserve"> </w:t>
      </w:r>
      <w:r>
        <w:rPr>
          <w:sz w:val="20"/>
        </w:rPr>
        <w:t>gönderilir.</w:t>
      </w:r>
    </w:p>
    <w:p w14:paraId="7608D229" w14:textId="77777777" w:rsidR="008E059F" w:rsidRDefault="008E059F">
      <w:pPr>
        <w:pStyle w:val="GvdeMetni"/>
        <w:spacing w:before="3"/>
        <w:rPr>
          <w:sz w:val="17"/>
        </w:rPr>
      </w:pPr>
    </w:p>
    <w:p w14:paraId="4B736CA0" w14:textId="77777777" w:rsidR="008E059F" w:rsidRDefault="00EA339B">
      <w:pPr>
        <w:pStyle w:val="ListeParagraf"/>
        <w:numPr>
          <w:ilvl w:val="0"/>
          <w:numId w:val="9"/>
        </w:numPr>
        <w:tabs>
          <w:tab w:val="left" w:pos="699"/>
        </w:tabs>
        <w:spacing w:line="276" w:lineRule="auto"/>
        <w:ind w:right="278" w:firstLine="0"/>
        <w:jc w:val="both"/>
        <w:rPr>
          <w:sz w:val="20"/>
        </w:rPr>
      </w:pPr>
      <w:r>
        <w:rPr>
          <w:sz w:val="20"/>
        </w:rPr>
        <w:t>Erasmus öğrenci hareketliliği kapsamında gidecek öğrencilere üniversiteden ayrılmadan önce bir “Erasm</w:t>
      </w:r>
      <w:r>
        <w:rPr>
          <w:sz w:val="20"/>
        </w:rPr>
        <w:t>us Öğrenci Beyannamesi” (Erasmus Student Charter) verilir. Bu beyannamede öğrencinin hak ve yükümlülükleri</w:t>
      </w:r>
      <w:r>
        <w:rPr>
          <w:spacing w:val="-2"/>
          <w:sz w:val="20"/>
        </w:rPr>
        <w:t xml:space="preserve"> </w:t>
      </w:r>
      <w:r>
        <w:rPr>
          <w:sz w:val="20"/>
        </w:rPr>
        <w:t>belirtilir.</w:t>
      </w:r>
    </w:p>
    <w:p w14:paraId="261B082C" w14:textId="77777777" w:rsidR="008E059F" w:rsidRDefault="008E059F">
      <w:pPr>
        <w:pStyle w:val="GvdeMetni"/>
        <w:spacing w:before="11"/>
        <w:rPr>
          <w:sz w:val="16"/>
        </w:rPr>
      </w:pPr>
    </w:p>
    <w:p w14:paraId="761555D9" w14:textId="77777777" w:rsidR="008E059F" w:rsidRDefault="00EA339B">
      <w:pPr>
        <w:pStyle w:val="ListeParagraf"/>
        <w:numPr>
          <w:ilvl w:val="0"/>
          <w:numId w:val="9"/>
        </w:numPr>
        <w:tabs>
          <w:tab w:val="left" w:pos="713"/>
        </w:tabs>
        <w:spacing w:line="276" w:lineRule="auto"/>
        <w:ind w:right="278" w:firstLine="0"/>
        <w:jc w:val="both"/>
        <w:rPr>
          <w:sz w:val="20"/>
        </w:rPr>
      </w:pPr>
      <w:r>
        <w:rPr>
          <w:sz w:val="20"/>
        </w:rPr>
        <w:t>Öğrenim anlaşmasında (Learning Agreement) belirlenen derslerde değişiklik olması durumunda değişikliğin en fazla 1 (bir) ay içinde ilgil</w:t>
      </w:r>
      <w:r>
        <w:rPr>
          <w:sz w:val="20"/>
        </w:rPr>
        <w:t>i birime bildirilmesi ve her iki üniversitenin bu değişikliği onaylaması</w:t>
      </w:r>
      <w:r>
        <w:rPr>
          <w:spacing w:val="-2"/>
          <w:sz w:val="20"/>
        </w:rPr>
        <w:t xml:space="preserve"> </w:t>
      </w:r>
      <w:r>
        <w:rPr>
          <w:sz w:val="20"/>
        </w:rPr>
        <w:t>gereklidir.</w:t>
      </w:r>
    </w:p>
    <w:p w14:paraId="2B8B6C2E" w14:textId="77777777" w:rsidR="008E059F" w:rsidRDefault="008E059F">
      <w:pPr>
        <w:pStyle w:val="GvdeMetni"/>
        <w:rPr>
          <w:sz w:val="17"/>
        </w:rPr>
      </w:pPr>
    </w:p>
    <w:p w14:paraId="1EC1EE6A" w14:textId="77777777" w:rsidR="008E059F" w:rsidRDefault="00EA339B">
      <w:pPr>
        <w:pStyle w:val="ListeParagraf"/>
        <w:numPr>
          <w:ilvl w:val="0"/>
          <w:numId w:val="9"/>
        </w:numPr>
        <w:tabs>
          <w:tab w:val="left" w:pos="682"/>
        </w:tabs>
        <w:spacing w:line="276" w:lineRule="auto"/>
        <w:ind w:right="275" w:firstLine="0"/>
        <w:jc w:val="both"/>
        <w:rPr>
          <w:sz w:val="20"/>
        </w:rPr>
      </w:pPr>
      <w:r>
        <w:rPr>
          <w:sz w:val="20"/>
        </w:rPr>
        <w:t>Öğrenim anlaşmasında belirtilen derslerde zorunlu hallerde (Yurt dışındaki öğretim üyesinin dersi açmama durumu gibi) değişiklik olması durumunda, öğrenci bölüm koordinat</w:t>
      </w:r>
      <w:r>
        <w:rPr>
          <w:sz w:val="20"/>
        </w:rPr>
        <w:t>örüne bilgi vererek, NKÜ’ de eşleştireceği dersin içeriğine uygun olarak değiştirdiği dersi yeni tanınma belgesinde belirtmesi zorunludur. Bölüm ve Birim Koordinatörleri de yeni tanınma belgesinin onay işlemlerinin tamamlanması için gerekli işlemleri yapar</w:t>
      </w:r>
    </w:p>
    <w:p w14:paraId="10E419D9" w14:textId="77777777" w:rsidR="008E059F" w:rsidRDefault="008E059F">
      <w:pPr>
        <w:pStyle w:val="GvdeMetni"/>
        <w:spacing w:before="3"/>
        <w:rPr>
          <w:sz w:val="17"/>
        </w:rPr>
      </w:pPr>
    </w:p>
    <w:p w14:paraId="19C05C4C" w14:textId="77777777" w:rsidR="008E059F" w:rsidRDefault="00EA339B">
      <w:pPr>
        <w:pStyle w:val="ListeParagraf"/>
        <w:numPr>
          <w:ilvl w:val="0"/>
          <w:numId w:val="9"/>
        </w:numPr>
        <w:tabs>
          <w:tab w:val="left" w:pos="692"/>
        </w:tabs>
        <w:spacing w:line="276" w:lineRule="auto"/>
        <w:ind w:right="280" w:firstLine="0"/>
        <w:jc w:val="both"/>
        <w:rPr>
          <w:sz w:val="20"/>
        </w:rPr>
      </w:pPr>
      <w:r>
        <w:rPr>
          <w:sz w:val="20"/>
        </w:rPr>
        <w:t>Erasmus programından yararlanan öğrenciler karşı üniversiteye öğrenim ücreti ödemezler. Ancak barınma, ulaşım, kişisel harcamalar, beslenme, sağlık sigortası vb. tüm masraflar öğrenciler tarafından karşılanır.</w:t>
      </w:r>
    </w:p>
    <w:p w14:paraId="03A18783" w14:textId="77777777" w:rsidR="008E059F" w:rsidRDefault="008E059F">
      <w:pPr>
        <w:pStyle w:val="GvdeMetni"/>
        <w:rPr>
          <w:sz w:val="17"/>
        </w:rPr>
      </w:pPr>
    </w:p>
    <w:p w14:paraId="66D84D08" w14:textId="77777777" w:rsidR="008E059F" w:rsidRDefault="00EA339B">
      <w:pPr>
        <w:pStyle w:val="ListeParagraf"/>
        <w:numPr>
          <w:ilvl w:val="0"/>
          <w:numId w:val="9"/>
        </w:numPr>
        <w:tabs>
          <w:tab w:val="left" w:pos="728"/>
        </w:tabs>
        <w:spacing w:line="276" w:lineRule="auto"/>
        <w:ind w:right="272" w:firstLine="0"/>
        <w:jc w:val="both"/>
        <w:rPr>
          <w:sz w:val="20"/>
        </w:rPr>
      </w:pPr>
      <w:r>
        <w:rPr>
          <w:sz w:val="20"/>
        </w:rPr>
        <w:t>Erasmus Programını tamamlayıp dönen öğrencile</w:t>
      </w:r>
      <w:r>
        <w:rPr>
          <w:sz w:val="20"/>
        </w:rPr>
        <w:t>r, sözleşme uyarınca, karşı üniversitenin not çizelgesini, karşı üniversitede yaptığı değişiklikleri de içeren, imzaları tamamlanmış Öğrenim Anlaşması ve Tanınma Belgesini, orada kaldığı süreyi teyit eden katılım belgesini Erasmus Ofisine teslim etmekle ve</w:t>
      </w:r>
      <w:r>
        <w:rPr>
          <w:sz w:val="20"/>
        </w:rPr>
        <w:t xml:space="preserve"> e- posta adreslerine tanımlanan çevrimiçi nihai rapor formunu doldurup göndermekle</w:t>
      </w:r>
      <w:r>
        <w:rPr>
          <w:spacing w:val="-21"/>
          <w:sz w:val="20"/>
        </w:rPr>
        <w:t xml:space="preserve"> </w:t>
      </w:r>
      <w:r>
        <w:rPr>
          <w:sz w:val="20"/>
        </w:rPr>
        <w:t>yükümlüdürler.</w:t>
      </w:r>
    </w:p>
    <w:p w14:paraId="13101EB3" w14:textId="77777777" w:rsidR="008E059F" w:rsidRDefault="008E059F">
      <w:pPr>
        <w:pStyle w:val="GvdeMetni"/>
        <w:spacing w:before="1"/>
        <w:rPr>
          <w:sz w:val="17"/>
        </w:rPr>
      </w:pPr>
    </w:p>
    <w:p w14:paraId="6C7676FE" w14:textId="77777777" w:rsidR="008E059F" w:rsidRDefault="00EA339B">
      <w:pPr>
        <w:pStyle w:val="ListeParagraf"/>
        <w:numPr>
          <w:ilvl w:val="0"/>
          <w:numId w:val="9"/>
        </w:numPr>
        <w:tabs>
          <w:tab w:val="left" w:pos="682"/>
        </w:tabs>
        <w:spacing w:line="276" w:lineRule="auto"/>
        <w:ind w:right="272" w:firstLine="0"/>
        <w:jc w:val="both"/>
        <w:rPr>
          <w:sz w:val="20"/>
        </w:rPr>
      </w:pPr>
      <w:r>
        <w:rPr>
          <w:sz w:val="20"/>
        </w:rPr>
        <w:t>Erasmus Programından yararlanan öğrenciler, Avrupa Komisyonun bir uygulaması olan ve e-posta adreslerine tanımlanan Çevrimiçi Dil Desteği Sınavını (OLS) hem</w:t>
      </w:r>
      <w:r>
        <w:rPr>
          <w:sz w:val="20"/>
        </w:rPr>
        <w:t xml:space="preserve"> gidiş aşamasında, hem de döndükten sonra yapmak</w:t>
      </w:r>
      <w:r>
        <w:rPr>
          <w:spacing w:val="-1"/>
          <w:sz w:val="20"/>
        </w:rPr>
        <w:t xml:space="preserve"> </w:t>
      </w:r>
      <w:r>
        <w:rPr>
          <w:sz w:val="20"/>
        </w:rPr>
        <w:t>zorundadırlar.</w:t>
      </w:r>
    </w:p>
    <w:p w14:paraId="17BFD06F" w14:textId="77777777" w:rsidR="008E059F" w:rsidRDefault="008E059F">
      <w:pPr>
        <w:pStyle w:val="GvdeMetni"/>
        <w:rPr>
          <w:sz w:val="17"/>
        </w:rPr>
      </w:pPr>
    </w:p>
    <w:p w14:paraId="34ABE401" w14:textId="77777777" w:rsidR="008E059F" w:rsidRDefault="00EA339B">
      <w:pPr>
        <w:pStyle w:val="Balk1"/>
        <w:jc w:val="both"/>
      </w:pPr>
      <w:r>
        <w:t>Karşı üniversiteye başvuru ve kabul süreci:</w:t>
      </w:r>
    </w:p>
    <w:p w14:paraId="4156BE40" w14:textId="77777777" w:rsidR="008E059F" w:rsidRDefault="008E059F">
      <w:pPr>
        <w:pStyle w:val="GvdeMetni"/>
        <w:spacing w:before="2"/>
        <w:rPr>
          <w:b/>
        </w:rPr>
      </w:pPr>
    </w:p>
    <w:p w14:paraId="37CD6675" w14:textId="77777777" w:rsidR="008E059F" w:rsidRDefault="00EA339B">
      <w:pPr>
        <w:pStyle w:val="GvdeMetni"/>
        <w:spacing w:line="276" w:lineRule="auto"/>
        <w:ind w:left="216" w:right="276"/>
        <w:jc w:val="both"/>
      </w:pPr>
      <w:r>
        <w:rPr>
          <w:b/>
        </w:rPr>
        <w:t xml:space="preserve">MADDE 9 – </w:t>
      </w:r>
      <w:r>
        <w:t>(1) Programdan yararlanmak üzere seçilen öğrencilerin karşı üniversitelere başvurusu öğrencinin kendisi tarafından gerçekleştirilir. Kar</w:t>
      </w:r>
      <w:r>
        <w:t>şı üniversite tarafından istenen belgelerin hazırlanması öğrencinin sorumluluğundadır. Ancak belgelerin hazırlanmasında ve süreç içerisinde Erasmus Ofisi tarafından ilgili öğrenciye danışmanlık hizmeti verilir.</w:t>
      </w:r>
    </w:p>
    <w:p w14:paraId="5DE05BBC" w14:textId="77777777" w:rsidR="008E059F" w:rsidRDefault="008E059F">
      <w:pPr>
        <w:pStyle w:val="GvdeMetni"/>
        <w:spacing w:before="11"/>
        <w:rPr>
          <w:sz w:val="16"/>
        </w:rPr>
      </w:pPr>
    </w:p>
    <w:p w14:paraId="032C3536" w14:textId="77777777" w:rsidR="008E059F" w:rsidRDefault="00EA339B">
      <w:pPr>
        <w:pStyle w:val="GvdeMetni"/>
        <w:ind w:left="216"/>
        <w:jc w:val="both"/>
      </w:pPr>
      <w:r>
        <w:t>(2)Seyahat detayları ve vize işlemleri öğren</w:t>
      </w:r>
      <w:r>
        <w:t>ciler tarafından yerine getirilir.</w:t>
      </w:r>
    </w:p>
    <w:p w14:paraId="5201FA09" w14:textId="77777777" w:rsidR="008E059F" w:rsidRDefault="008E059F">
      <w:pPr>
        <w:jc w:val="both"/>
        <w:sectPr w:rsidR="008E059F">
          <w:pgSz w:w="11910" w:h="16840"/>
          <w:pgMar w:top="1320" w:right="860" w:bottom="280" w:left="1200" w:header="749" w:footer="0" w:gutter="0"/>
          <w:cols w:space="708"/>
        </w:sectPr>
      </w:pPr>
    </w:p>
    <w:p w14:paraId="30E20590" w14:textId="33B7319B" w:rsidR="008E059F" w:rsidRDefault="00EA339B">
      <w:pPr>
        <w:pStyle w:val="Balk1"/>
        <w:spacing w:before="89"/>
        <w:jc w:val="both"/>
      </w:pPr>
      <w:r>
        <w:lastRenderedPageBreak/>
        <w:t xml:space="preserve">Öğrencilerin </w:t>
      </w:r>
      <w:r w:rsidR="005546AB">
        <w:t xml:space="preserve">Tekirdağ </w:t>
      </w:r>
      <w:r>
        <w:t>Namık Kemal Üniversitesindeki statüleri:</w:t>
      </w:r>
    </w:p>
    <w:p w14:paraId="69FC2B12" w14:textId="77777777" w:rsidR="008E059F" w:rsidRDefault="008E059F">
      <w:pPr>
        <w:pStyle w:val="GvdeMetni"/>
        <w:spacing w:before="2"/>
        <w:rPr>
          <w:b/>
        </w:rPr>
      </w:pPr>
    </w:p>
    <w:p w14:paraId="0A0D2F81" w14:textId="77777777" w:rsidR="008E059F" w:rsidRDefault="00EA339B">
      <w:pPr>
        <w:pStyle w:val="GvdeMetni"/>
        <w:spacing w:line="276" w:lineRule="auto"/>
        <w:ind w:left="216" w:right="274"/>
        <w:jc w:val="both"/>
      </w:pPr>
      <w:r>
        <w:rPr>
          <w:b/>
        </w:rPr>
        <w:t xml:space="preserve">MADDE 10 </w:t>
      </w:r>
      <w:r>
        <w:t>– (1) Öğrenciler, Erasmus Programı kapsamında yurtdışında bulunacakları süre içinde, 28.12.2006 tarih ve 26390 sayılı Yükseköğretim Kurumlarının Yurtdışındaki Kapsama Dahil Yükseköğretim Kurumlarıyla Ortak Eğitim ve Öğretim Programları Tesisi Hakkında Yöne</w:t>
      </w:r>
      <w:r>
        <w:t>tmelik çerçevesinde izinli sayılırlar. Bu programdan yararlanmak isteyen araştırma görevlileri de 2547 sayılı kanun çerçevesinde görevlendirilirler.</w:t>
      </w:r>
    </w:p>
    <w:p w14:paraId="36E412CC" w14:textId="77777777" w:rsidR="008E059F" w:rsidRDefault="008E059F">
      <w:pPr>
        <w:pStyle w:val="GvdeMetni"/>
        <w:rPr>
          <w:sz w:val="17"/>
        </w:rPr>
      </w:pPr>
    </w:p>
    <w:p w14:paraId="66B1F905" w14:textId="793500CF" w:rsidR="008E059F" w:rsidRDefault="00EA339B">
      <w:pPr>
        <w:pStyle w:val="ListeParagraf"/>
        <w:numPr>
          <w:ilvl w:val="0"/>
          <w:numId w:val="7"/>
        </w:numPr>
        <w:tabs>
          <w:tab w:val="left" w:pos="531"/>
        </w:tabs>
        <w:spacing w:line="278" w:lineRule="auto"/>
        <w:ind w:right="281" w:firstLine="0"/>
        <w:jc w:val="both"/>
        <w:rPr>
          <w:sz w:val="20"/>
        </w:rPr>
      </w:pPr>
      <w:r>
        <w:rPr>
          <w:sz w:val="20"/>
        </w:rPr>
        <w:t xml:space="preserve">Öğrenciler yurt dışında okudukları süre zarfında </w:t>
      </w:r>
      <w:r w:rsidR="005546AB">
        <w:rPr>
          <w:sz w:val="20"/>
        </w:rPr>
        <w:t xml:space="preserve">Tekirdağ </w:t>
      </w:r>
      <w:r>
        <w:rPr>
          <w:sz w:val="20"/>
        </w:rPr>
        <w:t>Namık Kemal Üniversitesi'ne ödemek zorunda oldukları katk</w:t>
      </w:r>
      <w:r>
        <w:rPr>
          <w:sz w:val="20"/>
        </w:rPr>
        <w:t>ı payı veya öğrenim ücretini ödemekle</w:t>
      </w:r>
      <w:r>
        <w:rPr>
          <w:spacing w:val="-9"/>
          <w:sz w:val="20"/>
        </w:rPr>
        <w:t xml:space="preserve"> </w:t>
      </w:r>
      <w:r>
        <w:rPr>
          <w:sz w:val="20"/>
        </w:rPr>
        <w:t>yükümlüdürler.</w:t>
      </w:r>
    </w:p>
    <w:p w14:paraId="54AB17A5" w14:textId="77777777" w:rsidR="008E059F" w:rsidRDefault="00EA339B">
      <w:pPr>
        <w:pStyle w:val="ListeParagraf"/>
        <w:numPr>
          <w:ilvl w:val="0"/>
          <w:numId w:val="7"/>
        </w:numPr>
        <w:tabs>
          <w:tab w:val="left" w:pos="538"/>
        </w:tabs>
        <w:spacing w:before="195" w:line="278" w:lineRule="auto"/>
        <w:ind w:right="282" w:firstLine="0"/>
        <w:jc w:val="both"/>
        <w:rPr>
          <w:sz w:val="20"/>
        </w:rPr>
      </w:pPr>
      <w:r>
        <w:rPr>
          <w:sz w:val="20"/>
        </w:rPr>
        <w:t>Üniversite, Yüksek Öğrenim Kredi ve Yurtlar Kurumuna bağlı yurtlarda barınan öğrencilerin yurtdışında bulundukları süre zarfında barınma haklarının korunması için gerekli girişimlerde</w:t>
      </w:r>
      <w:r>
        <w:rPr>
          <w:spacing w:val="-15"/>
          <w:sz w:val="20"/>
        </w:rPr>
        <w:t xml:space="preserve"> </w:t>
      </w:r>
      <w:r>
        <w:rPr>
          <w:sz w:val="20"/>
        </w:rPr>
        <w:t>bulunur.</w:t>
      </w:r>
    </w:p>
    <w:p w14:paraId="42B7052F" w14:textId="77777777" w:rsidR="008E059F" w:rsidRDefault="00EA339B">
      <w:pPr>
        <w:pStyle w:val="Balk1"/>
        <w:spacing w:before="196"/>
        <w:jc w:val="both"/>
      </w:pPr>
      <w:r>
        <w:t>Ders saydı</w:t>
      </w:r>
      <w:r>
        <w:t>rma işlemleri:</w:t>
      </w:r>
    </w:p>
    <w:p w14:paraId="024EB9AA" w14:textId="77777777" w:rsidR="008E059F" w:rsidRDefault="008E059F">
      <w:pPr>
        <w:pStyle w:val="GvdeMetni"/>
        <w:spacing w:before="1"/>
        <w:rPr>
          <w:b/>
        </w:rPr>
      </w:pPr>
    </w:p>
    <w:p w14:paraId="21355D37" w14:textId="77777777" w:rsidR="008E059F" w:rsidRDefault="00EA339B">
      <w:pPr>
        <w:pStyle w:val="GvdeMetni"/>
        <w:spacing w:line="276" w:lineRule="auto"/>
        <w:ind w:left="216" w:right="284"/>
        <w:jc w:val="both"/>
      </w:pPr>
      <w:r>
        <w:rPr>
          <w:b/>
        </w:rPr>
        <w:t xml:space="preserve">MADDE 11 </w:t>
      </w:r>
      <w:r>
        <w:t>– (1) Ders saydırma sürecinde temel alınacak belgeler Öğrenim Anlaşması, Tanınma Belgesi ve karşı üniversiteden gelen not çizelgesidir.</w:t>
      </w:r>
    </w:p>
    <w:p w14:paraId="1745D224" w14:textId="77777777" w:rsidR="008E059F" w:rsidRDefault="008E059F">
      <w:pPr>
        <w:pStyle w:val="GvdeMetni"/>
        <w:spacing w:before="1"/>
        <w:rPr>
          <w:sz w:val="17"/>
        </w:rPr>
      </w:pPr>
    </w:p>
    <w:p w14:paraId="6C9B5A4F" w14:textId="77777777" w:rsidR="008E059F" w:rsidRDefault="00EA339B">
      <w:pPr>
        <w:pStyle w:val="ListeParagraf"/>
        <w:numPr>
          <w:ilvl w:val="0"/>
          <w:numId w:val="6"/>
        </w:numPr>
        <w:tabs>
          <w:tab w:val="left" w:pos="582"/>
        </w:tabs>
        <w:spacing w:line="276" w:lineRule="auto"/>
        <w:ind w:right="272" w:firstLine="0"/>
        <w:jc w:val="both"/>
        <w:rPr>
          <w:sz w:val="20"/>
        </w:rPr>
      </w:pPr>
      <w:r>
        <w:rPr>
          <w:sz w:val="20"/>
        </w:rPr>
        <w:t>(Değişik Senato 27.12.2016 - 2016/09-26.) Karşı üniversitedeki eğitimlerini tamamlayıp geri ge</w:t>
      </w:r>
      <w:r>
        <w:rPr>
          <w:sz w:val="20"/>
        </w:rPr>
        <w:t>len öğrenciler, ders saydırma işlemleri için yurtdışındaki üniversiteden alınmış not çizelgesinin aslı ve tanınma belgesinin son haliyle birlikte ilgili Bölüm/Program/EABD Erasmus Koordinatörlerine başvururlar. Bölüm Erasmus koordinatörü detaylı incelemeyi</w:t>
      </w:r>
      <w:r>
        <w:rPr>
          <w:sz w:val="20"/>
        </w:rPr>
        <w:t xml:space="preserve"> yaptıktan sonra Tanınma Belgesi öğrenci ve bölüm/program koordinatörü tarafından imzalanarak Fakülte/Enstitü/Yüksek okul/Meslek Yüksek okul koordinatörüne gönderilir. Tanınma Belgesi Fakülte/Enstitü/Yüksek okul/Meslek Yüksekokulu koordinatörü tarafından "</w:t>
      </w:r>
      <w:r>
        <w:rPr>
          <w:sz w:val="20"/>
        </w:rPr>
        <w:t>NKÜ Avrupa Birliği Eğitim Ve Gençlik Programları Erasmus Plus Programı Ana Eylem 1 - KA1 Eğitim ve Öğretim Alanında Bireylerin Öğrenme Hareketliliği Yönergesi" dikkate alınarak incelenir ve Birim Yöneticisi'ne (Fakülte Dekanı/Enstitü Müdürü/Yüksekokul-Mesl</w:t>
      </w:r>
      <w:r>
        <w:rPr>
          <w:sz w:val="20"/>
        </w:rPr>
        <w:t>ek Yüksek Okulu Müdürü) imzalatılarak Rektörlük Dış İlişkiler Uygulama ve Araştırma Merkezi / Eramus Ofisine gönderilir ya da öğrenci tarafından diğer belgeleriyle birlikte bizzat Erasmus Ofisine teslim edilir. Erasmus Ofisi tanınma belgesinin, Erasmus Kur</w:t>
      </w:r>
      <w:r>
        <w:rPr>
          <w:sz w:val="20"/>
        </w:rPr>
        <w:t>um Koordinatörü ve Erasmus programından sorumlu Rektör Yardımcısı tarafından onaylanmasını/imzalanmasını sağlar ve not çizelgesi ile tanınma belgesini resmi yazıyla Öğrenci İşleri Daire Başkanlığına</w:t>
      </w:r>
      <w:r>
        <w:rPr>
          <w:spacing w:val="-1"/>
          <w:sz w:val="20"/>
        </w:rPr>
        <w:t xml:space="preserve"> </w:t>
      </w:r>
      <w:r>
        <w:rPr>
          <w:sz w:val="20"/>
        </w:rPr>
        <w:t>iletir.</w:t>
      </w:r>
    </w:p>
    <w:p w14:paraId="1EE4817C" w14:textId="77777777" w:rsidR="008E059F" w:rsidRDefault="008E059F">
      <w:pPr>
        <w:pStyle w:val="GvdeMetni"/>
        <w:spacing w:before="1"/>
        <w:rPr>
          <w:sz w:val="17"/>
        </w:rPr>
      </w:pPr>
    </w:p>
    <w:p w14:paraId="3F484465" w14:textId="1B64EBA8" w:rsidR="008E059F" w:rsidRDefault="00EA339B">
      <w:pPr>
        <w:pStyle w:val="ListeParagraf"/>
        <w:numPr>
          <w:ilvl w:val="0"/>
          <w:numId w:val="6"/>
        </w:numPr>
        <w:tabs>
          <w:tab w:val="left" w:pos="531"/>
        </w:tabs>
        <w:spacing w:line="276" w:lineRule="auto"/>
        <w:ind w:right="277" w:firstLine="0"/>
        <w:jc w:val="both"/>
        <w:rPr>
          <w:sz w:val="20"/>
        </w:rPr>
      </w:pPr>
      <w:r>
        <w:rPr>
          <w:sz w:val="20"/>
        </w:rPr>
        <w:t xml:space="preserve">Öğrenci İşleri Daire Başkanlığı, öğrencinin yurt dışında aldığı ve başarılı olduğu derslerin notlarını </w:t>
      </w:r>
      <w:r w:rsidR="005546AB">
        <w:rPr>
          <w:sz w:val="20"/>
        </w:rPr>
        <w:t xml:space="preserve">Tekirdağ </w:t>
      </w:r>
      <w:r>
        <w:rPr>
          <w:sz w:val="20"/>
        </w:rPr>
        <w:t>Namık Kemal Üniversitesi'nde uygulanan not sistemine dönüştürerek öğrencinin not belgesine (transkript) işlenmesi işlemini gerçekleştirir. Öğrenci başarı</w:t>
      </w:r>
      <w:r>
        <w:rPr>
          <w:sz w:val="20"/>
        </w:rPr>
        <w:t>sız olduğu derslerin yerine, söz konusu derse Üniversitede eşlenik olarak gösterdiği ders/dersleri alır.</w:t>
      </w:r>
    </w:p>
    <w:p w14:paraId="5274A212" w14:textId="77777777" w:rsidR="008E059F" w:rsidRDefault="008E059F">
      <w:pPr>
        <w:pStyle w:val="GvdeMetni"/>
        <w:spacing w:before="1"/>
        <w:rPr>
          <w:sz w:val="17"/>
        </w:rPr>
      </w:pPr>
    </w:p>
    <w:p w14:paraId="5F7A5C09" w14:textId="501369CF" w:rsidR="008E059F" w:rsidRDefault="005546AB">
      <w:pPr>
        <w:pStyle w:val="Balk1"/>
        <w:spacing w:line="276" w:lineRule="auto"/>
        <w:ind w:right="278"/>
        <w:jc w:val="both"/>
      </w:pPr>
      <w:r>
        <w:t xml:space="preserve">Tekirdağ </w:t>
      </w:r>
      <w:r w:rsidR="00EA339B">
        <w:t>Namık Kemal Üniversitesi’nden giden erasmus öğrencileri için dönüşlerinde kullanılacak not dönüşüm tabloları:</w:t>
      </w:r>
    </w:p>
    <w:p w14:paraId="7429BAC1" w14:textId="77777777" w:rsidR="008E059F" w:rsidRDefault="008E059F">
      <w:pPr>
        <w:pStyle w:val="GvdeMetni"/>
        <w:spacing w:before="3"/>
        <w:rPr>
          <w:b/>
          <w:sz w:val="27"/>
        </w:rPr>
      </w:pPr>
    </w:p>
    <w:p w14:paraId="7FEE771E" w14:textId="77777777" w:rsidR="008E059F" w:rsidRDefault="00EA339B">
      <w:pPr>
        <w:pStyle w:val="GvdeMetni"/>
        <w:spacing w:before="1"/>
        <w:ind w:left="266"/>
        <w:jc w:val="both"/>
      </w:pPr>
      <w:r>
        <w:t>ÖN LİSANS VE LİSANS ÖĞRENCİLERİ İÇİN NOT DÖNÜŞTÜRME TABLOSU</w:t>
      </w:r>
    </w:p>
    <w:p w14:paraId="7A5CC796" w14:textId="77777777" w:rsidR="008E059F" w:rsidRDefault="008E059F">
      <w:pPr>
        <w:pStyle w:val="GvdeMetni"/>
        <w:spacing w:before="1"/>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951"/>
        <w:gridCol w:w="1985"/>
        <w:gridCol w:w="1702"/>
        <w:gridCol w:w="991"/>
        <w:gridCol w:w="1107"/>
      </w:tblGrid>
      <w:tr w:rsidR="008E059F" w14:paraId="2FD2DC70" w14:textId="77777777">
        <w:trPr>
          <w:trHeight w:val="859"/>
        </w:trPr>
        <w:tc>
          <w:tcPr>
            <w:tcW w:w="2854" w:type="dxa"/>
            <w:gridSpan w:val="2"/>
          </w:tcPr>
          <w:p w14:paraId="5461B1EA" w14:textId="77777777" w:rsidR="008E059F" w:rsidRDefault="00EA339B">
            <w:pPr>
              <w:pStyle w:val="TableParagraph"/>
              <w:spacing w:line="276" w:lineRule="auto"/>
              <w:ind w:left="69"/>
              <w:rPr>
                <w:b/>
                <w:sz w:val="20"/>
              </w:rPr>
            </w:pPr>
            <w:r>
              <w:rPr>
                <w:b/>
                <w:sz w:val="20"/>
              </w:rPr>
              <w:t>AB ÜYESİ ÜLKEDE ALINAN NOT</w:t>
            </w:r>
          </w:p>
        </w:tc>
        <w:tc>
          <w:tcPr>
            <w:tcW w:w="5785" w:type="dxa"/>
            <w:gridSpan w:val="4"/>
          </w:tcPr>
          <w:p w14:paraId="42F3318E" w14:textId="77777777" w:rsidR="008E059F" w:rsidRDefault="008E059F">
            <w:pPr>
              <w:pStyle w:val="TableParagraph"/>
              <w:spacing w:before="7"/>
              <w:ind w:left="0"/>
              <w:rPr>
                <w:sz w:val="21"/>
              </w:rPr>
            </w:pPr>
          </w:p>
          <w:p w14:paraId="06C0DC5F" w14:textId="2223BD40" w:rsidR="008E059F" w:rsidRDefault="005546AB">
            <w:pPr>
              <w:pStyle w:val="TableParagraph"/>
              <w:spacing w:before="0"/>
              <w:rPr>
                <w:b/>
                <w:sz w:val="20"/>
              </w:rPr>
            </w:pPr>
            <w:r>
              <w:rPr>
                <w:b/>
                <w:sz w:val="20"/>
              </w:rPr>
              <w:t xml:space="preserve">TEKİRDAĞ </w:t>
            </w:r>
            <w:r w:rsidR="00EA339B">
              <w:rPr>
                <w:b/>
                <w:sz w:val="20"/>
              </w:rPr>
              <w:t>NAMIK KEMAL ÜNİVERSİTESİ NOT SİSTEMİ</w:t>
            </w:r>
          </w:p>
        </w:tc>
      </w:tr>
      <w:tr w:rsidR="008E059F" w14:paraId="76EF7CBC" w14:textId="77777777">
        <w:trPr>
          <w:trHeight w:val="858"/>
        </w:trPr>
        <w:tc>
          <w:tcPr>
            <w:tcW w:w="1903" w:type="dxa"/>
            <w:tcBorders>
              <w:bottom w:val="double" w:sz="1" w:space="0" w:color="000000"/>
            </w:tcBorders>
          </w:tcPr>
          <w:p w14:paraId="475F89CE" w14:textId="77777777" w:rsidR="008E059F" w:rsidRDefault="00EA339B">
            <w:pPr>
              <w:pStyle w:val="TableParagraph"/>
              <w:tabs>
                <w:tab w:val="left" w:pos="1289"/>
              </w:tabs>
              <w:spacing w:line="276" w:lineRule="auto"/>
              <w:ind w:left="69" w:right="61"/>
              <w:rPr>
                <w:i/>
                <w:sz w:val="20"/>
              </w:rPr>
            </w:pPr>
            <w:r>
              <w:rPr>
                <w:i/>
                <w:sz w:val="20"/>
              </w:rPr>
              <w:t>İstatistiki</w:t>
            </w:r>
            <w:r>
              <w:rPr>
                <w:i/>
                <w:sz w:val="20"/>
              </w:rPr>
              <w:tab/>
            </w:r>
            <w:r>
              <w:rPr>
                <w:i/>
                <w:spacing w:val="-4"/>
                <w:sz w:val="20"/>
              </w:rPr>
              <w:t>Başarı</w:t>
            </w:r>
            <w:r>
              <w:rPr>
                <w:i/>
                <w:spacing w:val="-4"/>
                <w:sz w:val="20"/>
              </w:rPr>
              <w:t xml:space="preserve"> </w:t>
            </w:r>
            <w:r>
              <w:rPr>
                <w:i/>
                <w:sz w:val="20"/>
              </w:rPr>
              <w:t>Durumu</w:t>
            </w:r>
          </w:p>
        </w:tc>
        <w:tc>
          <w:tcPr>
            <w:tcW w:w="951" w:type="dxa"/>
            <w:tcBorders>
              <w:bottom w:val="double" w:sz="1" w:space="0" w:color="000000"/>
            </w:tcBorders>
          </w:tcPr>
          <w:p w14:paraId="37368ADD" w14:textId="77777777" w:rsidR="008E059F" w:rsidRDefault="00EA339B">
            <w:pPr>
              <w:pStyle w:val="TableParagraph"/>
              <w:rPr>
                <w:i/>
                <w:sz w:val="20"/>
              </w:rPr>
            </w:pPr>
            <w:r>
              <w:rPr>
                <w:i/>
                <w:sz w:val="20"/>
              </w:rPr>
              <w:t>ECTS</w:t>
            </w:r>
          </w:p>
          <w:p w14:paraId="427A10C2" w14:textId="77777777" w:rsidR="008E059F" w:rsidRDefault="00EA339B">
            <w:pPr>
              <w:pStyle w:val="TableParagraph"/>
              <w:spacing w:before="34"/>
              <w:rPr>
                <w:i/>
                <w:sz w:val="20"/>
              </w:rPr>
            </w:pPr>
            <w:r>
              <w:rPr>
                <w:i/>
                <w:sz w:val="20"/>
              </w:rPr>
              <w:t>Notu</w:t>
            </w:r>
          </w:p>
        </w:tc>
        <w:tc>
          <w:tcPr>
            <w:tcW w:w="1985" w:type="dxa"/>
            <w:tcBorders>
              <w:bottom w:val="double" w:sz="1" w:space="0" w:color="000000"/>
            </w:tcBorders>
          </w:tcPr>
          <w:p w14:paraId="5FE1BF76" w14:textId="77777777" w:rsidR="008E059F" w:rsidRDefault="00EA339B">
            <w:pPr>
              <w:pStyle w:val="TableParagraph"/>
              <w:tabs>
                <w:tab w:val="left" w:pos="1273"/>
              </w:tabs>
              <w:spacing w:line="276" w:lineRule="auto"/>
              <w:ind w:right="59"/>
              <w:rPr>
                <w:i/>
                <w:sz w:val="20"/>
              </w:rPr>
            </w:pPr>
            <w:r>
              <w:rPr>
                <w:i/>
                <w:sz w:val="20"/>
              </w:rPr>
              <w:t>NKÜ'deki</w:t>
            </w:r>
            <w:r>
              <w:rPr>
                <w:i/>
                <w:sz w:val="20"/>
              </w:rPr>
              <w:tab/>
            </w:r>
            <w:r>
              <w:rPr>
                <w:i/>
                <w:spacing w:val="-4"/>
                <w:sz w:val="20"/>
              </w:rPr>
              <w:t xml:space="preserve">eşdeğer </w:t>
            </w:r>
            <w:r>
              <w:rPr>
                <w:i/>
                <w:sz w:val="20"/>
              </w:rPr>
              <w:t>sistem</w:t>
            </w:r>
          </w:p>
        </w:tc>
        <w:tc>
          <w:tcPr>
            <w:tcW w:w="1702" w:type="dxa"/>
            <w:tcBorders>
              <w:bottom w:val="double" w:sz="1" w:space="0" w:color="000000"/>
            </w:tcBorders>
          </w:tcPr>
          <w:p w14:paraId="727AFBAA" w14:textId="77777777" w:rsidR="008E059F" w:rsidRDefault="008E059F">
            <w:pPr>
              <w:pStyle w:val="TableParagraph"/>
              <w:spacing w:before="7"/>
              <w:ind w:left="0"/>
              <w:rPr>
                <w:sz w:val="21"/>
              </w:rPr>
            </w:pPr>
          </w:p>
          <w:p w14:paraId="731594E0" w14:textId="77777777" w:rsidR="008E059F" w:rsidRDefault="00EA339B">
            <w:pPr>
              <w:pStyle w:val="TableParagraph"/>
              <w:spacing w:before="0"/>
              <w:rPr>
                <w:i/>
                <w:sz w:val="20"/>
              </w:rPr>
            </w:pPr>
            <w:r>
              <w:rPr>
                <w:i/>
                <w:sz w:val="20"/>
              </w:rPr>
              <w:t>100'lük sistem</w:t>
            </w:r>
          </w:p>
        </w:tc>
        <w:tc>
          <w:tcPr>
            <w:tcW w:w="991" w:type="dxa"/>
            <w:tcBorders>
              <w:bottom w:val="double" w:sz="1" w:space="0" w:color="000000"/>
            </w:tcBorders>
          </w:tcPr>
          <w:p w14:paraId="1DFD59C7" w14:textId="77777777" w:rsidR="008E059F" w:rsidRDefault="00EA339B">
            <w:pPr>
              <w:pStyle w:val="TableParagraph"/>
              <w:spacing w:line="276" w:lineRule="auto"/>
              <w:ind w:right="16"/>
              <w:rPr>
                <w:i/>
                <w:sz w:val="20"/>
              </w:rPr>
            </w:pPr>
            <w:r>
              <w:rPr>
                <w:i/>
                <w:sz w:val="20"/>
              </w:rPr>
              <w:t xml:space="preserve">4'lük </w:t>
            </w:r>
            <w:r>
              <w:rPr>
                <w:i/>
                <w:w w:val="95"/>
                <w:sz w:val="20"/>
              </w:rPr>
              <w:t>sistem</w:t>
            </w:r>
          </w:p>
        </w:tc>
        <w:tc>
          <w:tcPr>
            <w:tcW w:w="1107" w:type="dxa"/>
            <w:tcBorders>
              <w:bottom w:val="double" w:sz="1" w:space="0" w:color="000000"/>
            </w:tcBorders>
          </w:tcPr>
          <w:p w14:paraId="1B69D946" w14:textId="77777777" w:rsidR="008E059F" w:rsidRDefault="008E059F">
            <w:pPr>
              <w:pStyle w:val="TableParagraph"/>
              <w:spacing w:before="7"/>
              <w:ind w:left="0"/>
              <w:rPr>
                <w:sz w:val="21"/>
              </w:rPr>
            </w:pPr>
          </w:p>
          <w:p w14:paraId="46C10BD3" w14:textId="77777777" w:rsidR="008E059F" w:rsidRDefault="00EA339B">
            <w:pPr>
              <w:pStyle w:val="TableParagraph"/>
              <w:spacing w:before="0"/>
              <w:ind w:left="50" w:right="42"/>
              <w:jc w:val="center"/>
              <w:rPr>
                <w:i/>
                <w:sz w:val="20"/>
              </w:rPr>
            </w:pPr>
            <w:r>
              <w:rPr>
                <w:i/>
                <w:sz w:val="20"/>
              </w:rPr>
              <w:t>Tanımlama</w:t>
            </w:r>
          </w:p>
        </w:tc>
      </w:tr>
      <w:tr w:rsidR="008E059F" w14:paraId="74BE255B" w14:textId="77777777">
        <w:trPr>
          <w:trHeight w:val="589"/>
        </w:trPr>
        <w:tc>
          <w:tcPr>
            <w:tcW w:w="1903" w:type="dxa"/>
            <w:tcBorders>
              <w:top w:val="double" w:sz="1" w:space="0" w:color="000000"/>
            </w:tcBorders>
          </w:tcPr>
          <w:p w14:paraId="5C912564" w14:textId="77777777" w:rsidR="008E059F" w:rsidRDefault="00EA339B">
            <w:pPr>
              <w:pStyle w:val="TableParagraph"/>
              <w:spacing w:before="121"/>
              <w:ind w:left="69"/>
              <w:rPr>
                <w:sz w:val="20"/>
              </w:rPr>
            </w:pPr>
            <w:r>
              <w:rPr>
                <w:sz w:val="20"/>
              </w:rPr>
              <w:t>İlk 10%</w:t>
            </w:r>
          </w:p>
        </w:tc>
        <w:tc>
          <w:tcPr>
            <w:tcW w:w="951" w:type="dxa"/>
            <w:tcBorders>
              <w:top w:val="double" w:sz="1" w:space="0" w:color="000000"/>
            </w:tcBorders>
          </w:tcPr>
          <w:p w14:paraId="47545926" w14:textId="77777777" w:rsidR="008E059F" w:rsidRDefault="00EA339B">
            <w:pPr>
              <w:pStyle w:val="TableParagraph"/>
              <w:spacing w:before="121"/>
              <w:rPr>
                <w:sz w:val="20"/>
              </w:rPr>
            </w:pPr>
            <w:r>
              <w:rPr>
                <w:w w:val="99"/>
                <w:sz w:val="20"/>
              </w:rPr>
              <w:t>A</w:t>
            </w:r>
          </w:p>
        </w:tc>
        <w:tc>
          <w:tcPr>
            <w:tcW w:w="1985" w:type="dxa"/>
            <w:tcBorders>
              <w:top w:val="double" w:sz="1" w:space="0" w:color="000000"/>
            </w:tcBorders>
          </w:tcPr>
          <w:p w14:paraId="09ECEF42" w14:textId="77777777" w:rsidR="008E059F" w:rsidRDefault="00EA339B">
            <w:pPr>
              <w:pStyle w:val="TableParagraph"/>
              <w:spacing w:before="121"/>
              <w:rPr>
                <w:sz w:val="20"/>
              </w:rPr>
            </w:pPr>
            <w:r>
              <w:rPr>
                <w:sz w:val="20"/>
              </w:rPr>
              <w:t>AA</w:t>
            </w:r>
          </w:p>
        </w:tc>
        <w:tc>
          <w:tcPr>
            <w:tcW w:w="1702" w:type="dxa"/>
            <w:tcBorders>
              <w:top w:val="double" w:sz="1" w:space="0" w:color="000000"/>
            </w:tcBorders>
          </w:tcPr>
          <w:p w14:paraId="61A37265" w14:textId="77777777" w:rsidR="008E059F" w:rsidRDefault="00EA339B">
            <w:pPr>
              <w:pStyle w:val="TableParagraph"/>
              <w:spacing w:before="121"/>
              <w:rPr>
                <w:sz w:val="20"/>
              </w:rPr>
            </w:pPr>
            <w:r>
              <w:rPr>
                <w:sz w:val="20"/>
              </w:rPr>
              <w:t>90-100</w:t>
            </w:r>
          </w:p>
        </w:tc>
        <w:tc>
          <w:tcPr>
            <w:tcW w:w="991" w:type="dxa"/>
            <w:tcBorders>
              <w:top w:val="double" w:sz="1" w:space="0" w:color="000000"/>
            </w:tcBorders>
          </w:tcPr>
          <w:p w14:paraId="5668681A" w14:textId="77777777" w:rsidR="008E059F" w:rsidRDefault="00EA339B">
            <w:pPr>
              <w:pStyle w:val="TableParagraph"/>
              <w:spacing w:before="121"/>
              <w:rPr>
                <w:sz w:val="20"/>
              </w:rPr>
            </w:pPr>
            <w:r>
              <w:rPr>
                <w:w w:val="99"/>
                <w:sz w:val="20"/>
              </w:rPr>
              <w:t>4</w:t>
            </w:r>
          </w:p>
        </w:tc>
        <w:tc>
          <w:tcPr>
            <w:tcW w:w="1107" w:type="dxa"/>
            <w:tcBorders>
              <w:top w:val="double" w:sz="1" w:space="0" w:color="000000"/>
            </w:tcBorders>
          </w:tcPr>
          <w:p w14:paraId="7E6E9E5C" w14:textId="77777777" w:rsidR="008E059F" w:rsidRDefault="00EA339B">
            <w:pPr>
              <w:pStyle w:val="TableParagraph"/>
              <w:spacing w:before="121"/>
              <w:ind w:left="47" w:right="42"/>
              <w:jc w:val="center"/>
              <w:rPr>
                <w:sz w:val="20"/>
              </w:rPr>
            </w:pPr>
            <w:r>
              <w:rPr>
                <w:sz w:val="20"/>
              </w:rPr>
              <w:t>Mükemmel</w:t>
            </w:r>
          </w:p>
        </w:tc>
      </w:tr>
    </w:tbl>
    <w:p w14:paraId="3DAC10AA" w14:textId="77777777" w:rsidR="008E059F" w:rsidRDefault="008E059F">
      <w:pPr>
        <w:jc w:val="center"/>
        <w:rPr>
          <w:sz w:val="20"/>
        </w:rPr>
        <w:sectPr w:rsidR="008E059F">
          <w:pgSz w:w="11910" w:h="16840"/>
          <w:pgMar w:top="1320" w:right="860" w:bottom="280" w:left="1200" w:header="749" w:footer="0" w:gutter="0"/>
          <w:cols w:space="708"/>
        </w:sectPr>
      </w:pPr>
    </w:p>
    <w:p w14:paraId="0D08264C" w14:textId="77777777" w:rsidR="008E059F" w:rsidRDefault="008E059F">
      <w:pPr>
        <w:pStyle w:val="GvdeMetni"/>
        <w:spacing w:before="7"/>
        <w:rPr>
          <w:sz w:val="7"/>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951"/>
        <w:gridCol w:w="1985"/>
        <w:gridCol w:w="1702"/>
        <w:gridCol w:w="991"/>
        <w:gridCol w:w="1107"/>
      </w:tblGrid>
      <w:tr w:rsidR="008E059F" w14:paraId="38920B14" w14:textId="77777777">
        <w:trPr>
          <w:trHeight w:val="590"/>
        </w:trPr>
        <w:tc>
          <w:tcPr>
            <w:tcW w:w="1903" w:type="dxa"/>
            <w:tcBorders>
              <w:top w:val="nil"/>
            </w:tcBorders>
          </w:tcPr>
          <w:p w14:paraId="0CB1F19A" w14:textId="77777777" w:rsidR="008E059F" w:rsidRDefault="00EA339B">
            <w:pPr>
              <w:pStyle w:val="TableParagraph"/>
              <w:spacing w:before="121"/>
              <w:ind w:left="69"/>
              <w:rPr>
                <w:sz w:val="20"/>
              </w:rPr>
            </w:pPr>
            <w:r>
              <w:rPr>
                <w:sz w:val="20"/>
              </w:rPr>
              <w:t>Sonraki 25%</w:t>
            </w:r>
          </w:p>
        </w:tc>
        <w:tc>
          <w:tcPr>
            <w:tcW w:w="951" w:type="dxa"/>
            <w:tcBorders>
              <w:top w:val="nil"/>
            </w:tcBorders>
          </w:tcPr>
          <w:p w14:paraId="218E5912" w14:textId="77777777" w:rsidR="008E059F" w:rsidRDefault="00EA339B">
            <w:pPr>
              <w:pStyle w:val="TableParagraph"/>
              <w:spacing w:before="121"/>
              <w:rPr>
                <w:sz w:val="20"/>
              </w:rPr>
            </w:pPr>
            <w:r>
              <w:rPr>
                <w:w w:val="99"/>
                <w:sz w:val="20"/>
              </w:rPr>
              <w:t>B</w:t>
            </w:r>
          </w:p>
        </w:tc>
        <w:tc>
          <w:tcPr>
            <w:tcW w:w="1985" w:type="dxa"/>
          </w:tcPr>
          <w:p w14:paraId="6CFBBCE3" w14:textId="77777777" w:rsidR="008E059F" w:rsidRDefault="00EA339B">
            <w:pPr>
              <w:pStyle w:val="TableParagraph"/>
              <w:spacing w:before="121"/>
              <w:rPr>
                <w:sz w:val="20"/>
              </w:rPr>
            </w:pPr>
            <w:r>
              <w:rPr>
                <w:sz w:val="20"/>
              </w:rPr>
              <w:t>BA</w:t>
            </w:r>
          </w:p>
        </w:tc>
        <w:tc>
          <w:tcPr>
            <w:tcW w:w="1702" w:type="dxa"/>
            <w:tcBorders>
              <w:top w:val="nil"/>
            </w:tcBorders>
          </w:tcPr>
          <w:p w14:paraId="108A36E5" w14:textId="77777777" w:rsidR="008E059F" w:rsidRDefault="00EA339B">
            <w:pPr>
              <w:pStyle w:val="TableParagraph"/>
              <w:spacing w:before="121"/>
              <w:rPr>
                <w:sz w:val="20"/>
              </w:rPr>
            </w:pPr>
            <w:r>
              <w:rPr>
                <w:sz w:val="20"/>
              </w:rPr>
              <w:t>80-89</w:t>
            </w:r>
          </w:p>
        </w:tc>
        <w:tc>
          <w:tcPr>
            <w:tcW w:w="991" w:type="dxa"/>
            <w:tcBorders>
              <w:top w:val="nil"/>
            </w:tcBorders>
          </w:tcPr>
          <w:p w14:paraId="2168AE5C" w14:textId="77777777" w:rsidR="008E059F" w:rsidRDefault="00EA339B">
            <w:pPr>
              <w:pStyle w:val="TableParagraph"/>
              <w:spacing w:before="121"/>
              <w:rPr>
                <w:sz w:val="20"/>
              </w:rPr>
            </w:pPr>
            <w:r>
              <w:rPr>
                <w:sz w:val="20"/>
              </w:rPr>
              <w:t>3,5</w:t>
            </w:r>
          </w:p>
        </w:tc>
        <w:tc>
          <w:tcPr>
            <w:tcW w:w="1107" w:type="dxa"/>
            <w:tcBorders>
              <w:top w:val="nil"/>
            </w:tcBorders>
          </w:tcPr>
          <w:p w14:paraId="47F5B79E" w14:textId="77777777" w:rsidR="008E059F" w:rsidRDefault="00EA339B">
            <w:pPr>
              <w:pStyle w:val="TableParagraph"/>
              <w:spacing w:before="121"/>
              <w:rPr>
                <w:sz w:val="20"/>
              </w:rPr>
            </w:pPr>
            <w:r>
              <w:rPr>
                <w:sz w:val="20"/>
              </w:rPr>
              <w:t>Çok İyi</w:t>
            </w:r>
          </w:p>
        </w:tc>
      </w:tr>
      <w:tr w:rsidR="008E059F" w14:paraId="0954E457" w14:textId="77777777">
        <w:trPr>
          <w:trHeight w:val="590"/>
        </w:trPr>
        <w:tc>
          <w:tcPr>
            <w:tcW w:w="1903" w:type="dxa"/>
          </w:tcPr>
          <w:p w14:paraId="55BFE092" w14:textId="77777777" w:rsidR="008E059F" w:rsidRDefault="00EA339B">
            <w:pPr>
              <w:pStyle w:val="TableParagraph"/>
              <w:ind w:left="69"/>
              <w:rPr>
                <w:sz w:val="20"/>
              </w:rPr>
            </w:pPr>
            <w:r>
              <w:rPr>
                <w:sz w:val="20"/>
              </w:rPr>
              <w:t>Sonraki 30%</w:t>
            </w:r>
          </w:p>
        </w:tc>
        <w:tc>
          <w:tcPr>
            <w:tcW w:w="951" w:type="dxa"/>
          </w:tcPr>
          <w:p w14:paraId="3D1726DE" w14:textId="77777777" w:rsidR="008E059F" w:rsidRDefault="00EA339B">
            <w:pPr>
              <w:pStyle w:val="TableParagraph"/>
              <w:rPr>
                <w:sz w:val="20"/>
              </w:rPr>
            </w:pPr>
            <w:r>
              <w:rPr>
                <w:w w:val="99"/>
                <w:sz w:val="20"/>
              </w:rPr>
              <w:t>C</w:t>
            </w:r>
          </w:p>
        </w:tc>
        <w:tc>
          <w:tcPr>
            <w:tcW w:w="1985" w:type="dxa"/>
          </w:tcPr>
          <w:p w14:paraId="3C3AE6B8" w14:textId="77777777" w:rsidR="008E059F" w:rsidRDefault="00EA339B">
            <w:pPr>
              <w:pStyle w:val="TableParagraph"/>
              <w:rPr>
                <w:sz w:val="20"/>
              </w:rPr>
            </w:pPr>
            <w:r>
              <w:rPr>
                <w:sz w:val="20"/>
              </w:rPr>
              <w:t>BB</w:t>
            </w:r>
          </w:p>
        </w:tc>
        <w:tc>
          <w:tcPr>
            <w:tcW w:w="1702" w:type="dxa"/>
          </w:tcPr>
          <w:p w14:paraId="3AB1F30A" w14:textId="77777777" w:rsidR="008E059F" w:rsidRDefault="00EA339B">
            <w:pPr>
              <w:pStyle w:val="TableParagraph"/>
              <w:rPr>
                <w:sz w:val="20"/>
              </w:rPr>
            </w:pPr>
            <w:r>
              <w:rPr>
                <w:sz w:val="20"/>
              </w:rPr>
              <w:t>70-79</w:t>
            </w:r>
          </w:p>
        </w:tc>
        <w:tc>
          <w:tcPr>
            <w:tcW w:w="991" w:type="dxa"/>
          </w:tcPr>
          <w:p w14:paraId="57C5AA70" w14:textId="77777777" w:rsidR="008E059F" w:rsidRDefault="00EA339B">
            <w:pPr>
              <w:pStyle w:val="TableParagraph"/>
              <w:rPr>
                <w:sz w:val="20"/>
              </w:rPr>
            </w:pPr>
            <w:r>
              <w:rPr>
                <w:w w:val="99"/>
                <w:sz w:val="20"/>
              </w:rPr>
              <w:t>3</w:t>
            </w:r>
          </w:p>
        </w:tc>
        <w:tc>
          <w:tcPr>
            <w:tcW w:w="1107" w:type="dxa"/>
          </w:tcPr>
          <w:p w14:paraId="5528626D" w14:textId="77777777" w:rsidR="008E059F" w:rsidRDefault="00EA339B">
            <w:pPr>
              <w:pStyle w:val="TableParagraph"/>
              <w:rPr>
                <w:sz w:val="20"/>
              </w:rPr>
            </w:pPr>
            <w:r>
              <w:rPr>
                <w:sz w:val="20"/>
              </w:rPr>
              <w:t>İyi</w:t>
            </w:r>
          </w:p>
        </w:tc>
      </w:tr>
      <w:tr w:rsidR="008E059F" w14:paraId="3309C2FD" w14:textId="77777777">
        <w:trPr>
          <w:trHeight w:val="590"/>
        </w:trPr>
        <w:tc>
          <w:tcPr>
            <w:tcW w:w="1903" w:type="dxa"/>
          </w:tcPr>
          <w:p w14:paraId="18C890EF" w14:textId="77777777" w:rsidR="008E059F" w:rsidRDefault="00EA339B">
            <w:pPr>
              <w:pStyle w:val="TableParagraph"/>
              <w:ind w:left="69"/>
              <w:rPr>
                <w:sz w:val="20"/>
              </w:rPr>
            </w:pPr>
            <w:r>
              <w:rPr>
                <w:sz w:val="20"/>
              </w:rPr>
              <w:t>Sonraki 25%</w:t>
            </w:r>
          </w:p>
        </w:tc>
        <w:tc>
          <w:tcPr>
            <w:tcW w:w="951" w:type="dxa"/>
          </w:tcPr>
          <w:p w14:paraId="616CE48F" w14:textId="77777777" w:rsidR="008E059F" w:rsidRDefault="00EA339B">
            <w:pPr>
              <w:pStyle w:val="TableParagraph"/>
              <w:rPr>
                <w:sz w:val="20"/>
              </w:rPr>
            </w:pPr>
            <w:r>
              <w:rPr>
                <w:w w:val="99"/>
                <w:sz w:val="20"/>
              </w:rPr>
              <w:t>D</w:t>
            </w:r>
          </w:p>
        </w:tc>
        <w:tc>
          <w:tcPr>
            <w:tcW w:w="1985" w:type="dxa"/>
          </w:tcPr>
          <w:p w14:paraId="29892395" w14:textId="77777777" w:rsidR="008E059F" w:rsidRDefault="00EA339B">
            <w:pPr>
              <w:pStyle w:val="TableParagraph"/>
              <w:rPr>
                <w:sz w:val="20"/>
              </w:rPr>
            </w:pPr>
            <w:r>
              <w:rPr>
                <w:sz w:val="20"/>
              </w:rPr>
              <w:t>CB</w:t>
            </w:r>
          </w:p>
        </w:tc>
        <w:tc>
          <w:tcPr>
            <w:tcW w:w="1702" w:type="dxa"/>
          </w:tcPr>
          <w:p w14:paraId="0D26D89C" w14:textId="77777777" w:rsidR="008E059F" w:rsidRDefault="00EA339B">
            <w:pPr>
              <w:pStyle w:val="TableParagraph"/>
              <w:rPr>
                <w:sz w:val="20"/>
              </w:rPr>
            </w:pPr>
            <w:r>
              <w:rPr>
                <w:sz w:val="20"/>
              </w:rPr>
              <w:t>65-69</w:t>
            </w:r>
          </w:p>
        </w:tc>
        <w:tc>
          <w:tcPr>
            <w:tcW w:w="991" w:type="dxa"/>
          </w:tcPr>
          <w:p w14:paraId="2650851B" w14:textId="77777777" w:rsidR="008E059F" w:rsidRDefault="00EA339B">
            <w:pPr>
              <w:pStyle w:val="TableParagraph"/>
              <w:rPr>
                <w:sz w:val="20"/>
              </w:rPr>
            </w:pPr>
            <w:r>
              <w:rPr>
                <w:sz w:val="20"/>
              </w:rPr>
              <w:t>2,5</w:t>
            </w:r>
          </w:p>
        </w:tc>
        <w:tc>
          <w:tcPr>
            <w:tcW w:w="1107" w:type="dxa"/>
          </w:tcPr>
          <w:p w14:paraId="7A0F2BA1" w14:textId="77777777" w:rsidR="008E059F" w:rsidRDefault="00EA339B">
            <w:pPr>
              <w:pStyle w:val="TableParagraph"/>
              <w:rPr>
                <w:sz w:val="20"/>
              </w:rPr>
            </w:pPr>
            <w:r>
              <w:rPr>
                <w:sz w:val="20"/>
              </w:rPr>
              <w:t>Başarılı</w:t>
            </w:r>
          </w:p>
        </w:tc>
      </w:tr>
      <w:tr w:rsidR="008E059F" w14:paraId="1F2AFED9" w14:textId="77777777">
        <w:trPr>
          <w:trHeight w:val="590"/>
        </w:trPr>
        <w:tc>
          <w:tcPr>
            <w:tcW w:w="1903" w:type="dxa"/>
          </w:tcPr>
          <w:p w14:paraId="188A355C" w14:textId="77777777" w:rsidR="008E059F" w:rsidRDefault="00EA339B">
            <w:pPr>
              <w:pStyle w:val="TableParagraph"/>
              <w:ind w:left="69"/>
              <w:rPr>
                <w:sz w:val="20"/>
              </w:rPr>
            </w:pPr>
            <w:r>
              <w:rPr>
                <w:sz w:val="20"/>
              </w:rPr>
              <w:t>Sonraki 10%</w:t>
            </w:r>
          </w:p>
        </w:tc>
        <w:tc>
          <w:tcPr>
            <w:tcW w:w="951" w:type="dxa"/>
          </w:tcPr>
          <w:p w14:paraId="092DCEE9" w14:textId="77777777" w:rsidR="008E059F" w:rsidRDefault="00EA339B">
            <w:pPr>
              <w:pStyle w:val="TableParagraph"/>
              <w:rPr>
                <w:sz w:val="20"/>
              </w:rPr>
            </w:pPr>
            <w:r>
              <w:rPr>
                <w:w w:val="99"/>
                <w:sz w:val="20"/>
              </w:rPr>
              <w:t>E</w:t>
            </w:r>
          </w:p>
        </w:tc>
        <w:tc>
          <w:tcPr>
            <w:tcW w:w="1985" w:type="dxa"/>
          </w:tcPr>
          <w:p w14:paraId="3D6774DF" w14:textId="77777777" w:rsidR="008E059F" w:rsidRDefault="00EA339B">
            <w:pPr>
              <w:pStyle w:val="TableParagraph"/>
              <w:rPr>
                <w:sz w:val="20"/>
              </w:rPr>
            </w:pPr>
            <w:r>
              <w:rPr>
                <w:sz w:val="20"/>
              </w:rPr>
              <w:t>CC</w:t>
            </w:r>
          </w:p>
        </w:tc>
        <w:tc>
          <w:tcPr>
            <w:tcW w:w="1702" w:type="dxa"/>
          </w:tcPr>
          <w:p w14:paraId="44FB59A4" w14:textId="77777777" w:rsidR="008E059F" w:rsidRDefault="00EA339B">
            <w:pPr>
              <w:pStyle w:val="TableParagraph"/>
              <w:rPr>
                <w:sz w:val="20"/>
              </w:rPr>
            </w:pPr>
            <w:r>
              <w:rPr>
                <w:sz w:val="20"/>
              </w:rPr>
              <w:t>60-64</w:t>
            </w:r>
          </w:p>
        </w:tc>
        <w:tc>
          <w:tcPr>
            <w:tcW w:w="991" w:type="dxa"/>
          </w:tcPr>
          <w:p w14:paraId="79AABF1E" w14:textId="77777777" w:rsidR="008E059F" w:rsidRDefault="00EA339B">
            <w:pPr>
              <w:pStyle w:val="TableParagraph"/>
              <w:rPr>
                <w:sz w:val="20"/>
              </w:rPr>
            </w:pPr>
            <w:r>
              <w:rPr>
                <w:sz w:val="20"/>
              </w:rPr>
              <w:t>2,25</w:t>
            </w:r>
          </w:p>
        </w:tc>
        <w:tc>
          <w:tcPr>
            <w:tcW w:w="1107" w:type="dxa"/>
          </w:tcPr>
          <w:p w14:paraId="2672DA3C" w14:textId="77777777" w:rsidR="008E059F" w:rsidRDefault="00EA339B">
            <w:pPr>
              <w:pStyle w:val="TableParagraph"/>
              <w:rPr>
                <w:sz w:val="20"/>
              </w:rPr>
            </w:pPr>
            <w:r>
              <w:rPr>
                <w:sz w:val="20"/>
              </w:rPr>
              <w:t>Yeterli</w:t>
            </w:r>
          </w:p>
        </w:tc>
      </w:tr>
      <w:tr w:rsidR="008E059F" w14:paraId="6A08DB8E" w14:textId="77777777">
        <w:trPr>
          <w:trHeight w:val="590"/>
        </w:trPr>
        <w:tc>
          <w:tcPr>
            <w:tcW w:w="1903" w:type="dxa"/>
            <w:vMerge w:val="restart"/>
          </w:tcPr>
          <w:p w14:paraId="4F7F9682" w14:textId="77777777" w:rsidR="008E059F" w:rsidRDefault="008E059F">
            <w:pPr>
              <w:pStyle w:val="TableParagraph"/>
              <w:spacing w:before="0"/>
              <w:ind w:left="0"/>
            </w:pPr>
          </w:p>
          <w:p w14:paraId="6CBDE499" w14:textId="77777777" w:rsidR="008E059F" w:rsidRDefault="00EA339B">
            <w:pPr>
              <w:pStyle w:val="TableParagraph"/>
              <w:spacing w:before="161"/>
              <w:ind w:left="69"/>
              <w:rPr>
                <w:sz w:val="20"/>
              </w:rPr>
            </w:pPr>
            <w:r>
              <w:rPr>
                <w:sz w:val="20"/>
              </w:rPr>
              <w:t>Başarısız</w:t>
            </w:r>
          </w:p>
        </w:tc>
        <w:tc>
          <w:tcPr>
            <w:tcW w:w="951" w:type="dxa"/>
            <w:vMerge w:val="restart"/>
          </w:tcPr>
          <w:p w14:paraId="4BF7A696" w14:textId="77777777" w:rsidR="008E059F" w:rsidRDefault="008E059F">
            <w:pPr>
              <w:pStyle w:val="TableParagraph"/>
              <w:spacing w:before="0"/>
              <w:ind w:left="0"/>
            </w:pPr>
          </w:p>
          <w:p w14:paraId="76BE9CA2" w14:textId="77777777" w:rsidR="008E059F" w:rsidRDefault="00EA339B">
            <w:pPr>
              <w:pStyle w:val="TableParagraph"/>
              <w:spacing w:before="161"/>
              <w:rPr>
                <w:sz w:val="20"/>
              </w:rPr>
            </w:pPr>
            <w:r>
              <w:rPr>
                <w:sz w:val="20"/>
              </w:rPr>
              <w:t>FX</w:t>
            </w:r>
          </w:p>
        </w:tc>
        <w:tc>
          <w:tcPr>
            <w:tcW w:w="1985" w:type="dxa"/>
          </w:tcPr>
          <w:p w14:paraId="098BF262" w14:textId="77777777" w:rsidR="008E059F" w:rsidRDefault="00EA339B">
            <w:pPr>
              <w:pStyle w:val="TableParagraph"/>
              <w:rPr>
                <w:sz w:val="20"/>
              </w:rPr>
            </w:pPr>
            <w:r>
              <w:rPr>
                <w:sz w:val="20"/>
              </w:rPr>
              <w:t>DD</w:t>
            </w:r>
          </w:p>
        </w:tc>
        <w:tc>
          <w:tcPr>
            <w:tcW w:w="1702" w:type="dxa"/>
          </w:tcPr>
          <w:p w14:paraId="58DE5312" w14:textId="77777777" w:rsidR="008E059F" w:rsidRDefault="00EA339B">
            <w:pPr>
              <w:pStyle w:val="TableParagraph"/>
              <w:rPr>
                <w:sz w:val="20"/>
              </w:rPr>
            </w:pPr>
            <w:r>
              <w:rPr>
                <w:sz w:val="20"/>
              </w:rPr>
              <w:t>50-59</w:t>
            </w:r>
          </w:p>
        </w:tc>
        <w:tc>
          <w:tcPr>
            <w:tcW w:w="991" w:type="dxa"/>
          </w:tcPr>
          <w:p w14:paraId="6425BF97" w14:textId="77777777" w:rsidR="008E059F" w:rsidRDefault="00EA339B">
            <w:pPr>
              <w:pStyle w:val="TableParagraph"/>
              <w:rPr>
                <w:sz w:val="20"/>
              </w:rPr>
            </w:pPr>
            <w:r>
              <w:rPr>
                <w:w w:val="99"/>
                <w:sz w:val="20"/>
              </w:rPr>
              <w:t>2</w:t>
            </w:r>
          </w:p>
        </w:tc>
        <w:tc>
          <w:tcPr>
            <w:tcW w:w="1107" w:type="dxa"/>
            <w:vMerge w:val="restart"/>
          </w:tcPr>
          <w:p w14:paraId="1733ECD5" w14:textId="77777777" w:rsidR="008E059F" w:rsidRDefault="008E059F">
            <w:pPr>
              <w:pStyle w:val="TableParagraph"/>
              <w:spacing w:before="0"/>
              <w:ind w:left="0"/>
            </w:pPr>
          </w:p>
          <w:p w14:paraId="3E116D36" w14:textId="77777777" w:rsidR="008E059F" w:rsidRDefault="008E059F">
            <w:pPr>
              <w:pStyle w:val="TableParagraph"/>
              <w:spacing w:before="0"/>
              <w:ind w:left="0"/>
            </w:pPr>
          </w:p>
          <w:p w14:paraId="3D97958C" w14:textId="77777777" w:rsidR="008E059F" w:rsidRDefault="008E059F">
            <w:pPr>
              <w:pStyle w:val="TableParagraph"/>
              <w:spacing w:before="4"/>
              <w:ind w:left="0"/>
              <w:rPr>
                <w:sz w:val="17"/>
              </w:rPr>
            </w:pPr>
          </w:p>
          <w:p w14:paraId="7B50E908" w14:textId="77777777" w:rsidR="008E059F" w:rsidRDefault="00EA339B">
            <w:pPr>
              <w:pStyle w:val="TableParagraph"/>
              <w:spacing w:before="0"/>
              <w:rPr>
                <w:sz w:val="20"/>
              </w:rPr>
            </w:pPr>
            <w:r>
              <w:rPr>
                <w:sz w:val="20"/>
              </w:rPr>
              <w:t>Başarısız</w:t>
            </w:r>
          </w:p>
        </w:tc>
      </w:tr>
      <w:tr w:rsidR="008E059F" w14:paraId="49405E52" w14:textId="77777777">
        <w:trPr>
          <w:trHeight w:val="590"/>
        </w:trPr>
        <w:tc>
          <w:tcPr>
            <w:tcW w:w="1903" w:type="dxa"/>
            <w:vMerge/>
            <w:tcBorders>
              <w:top w:val="nil"/>
            </w:tcBorders>
          </w:tcPr>
          <w:p w14:paraId="70DBB5F8" w14:textId="77777777" w:rsidR="008E059F" w:rsidRDefault="008E059F">
            <w:pPr>
              <w:rPr>
                <w:sz w:val="2"/>
                <w:szCs w:val="2"/>
              </w:rPr>
            </w:pPr>
          </w:p>
        </w:tc>
        <w:tc>
          <w:tcPr>
            <w:tcW w:w="951" w:type="dxa"/>
            <w:vMerge/>
            <w:tcBorders>
              <w:top w:val="nil"/>
            </w:tcBorders>
          </w:tcPr>
          <w:p w14:paraId="37E0CDB3" w14:textId="77777777" w:rsidR="008E059F" w:rsidRDefault="008E059F">
            <w:pPr>
              <w:rPr>
                <w:sz w:val="2"/>
                <w:szCs w:val="2"/>
              </w:rPr>
            </w:pPr>
          </w:p>
        </w:tc>
        <w:tc>
          <w:tcPr>
            <w:tcW w:w="1985" w:type="dxa"/>
          </w:tcPr>
          <w:p w14:paraId="4640275D" w14:textId="77777777" w:rsidR="008E059F" w:rsidRDefault="00EA339B">
            <w:pPr>
              <w:pStyle w:val="TableParagraph"/>
              <w:rPr>
                <w:sz w:val="20"/>
              </w:rPr>
            </w:pPr>
            <w:r>
              <w:rPr>
                <w:sz w:val="20"/>
              </w:rPr>
              <w:t>FD</w:t>
            </w:r>
          </w:p>
        </w:tc>
        <w:tc>
          <w:tcPr>
            <w:tcW w:w="1702" w:type="dxa"/>
          </w:tcPr>
          <w:p w14:paraId="263304BC" w14:textId="77777777" w:rsidR="008E059F" w:rsidRDefault="00EA339B">
            <w:pPr>
              <w:pStyle w:val="TableParagraph"/>
              <w:rPr>
                <w:sz w:val="20"/>
              </w:rPr>
            </w:pPr>
            <w:r>
              <w:rPr>
                <w:sz w:val="20"/>
              </w:rPr>
              <w:t>30-49</w:t>
            </w:r>
          </w:p>
        </w:tc>
        <w:tc>
          <w:tcPr>
            <w:tcW w:w="991" w:type="dxa"/>
          </w:tcPr>
          <w:p w14:paraId="0E4973FF" w14:textId="77777777" w:rsidR="008E059F" w:rsidRDefault="00EA339B">
            <w:pPr>
              <w:pStyle w:val="TableParagraph"/>
              <w:rPr>
                <w:sz w:val="20"/>
              </w:rPr>
            </w:pPr>
            <w:r>
              <w:rPr>
                <w:w w:val="99"/>
                <w:sz w:val="20"/>
              </w:rPr>
              <w:t>1</w:t>
            </w:r>
          </w:p>
        </w:tc>
        <w:tc>
          <w:tcPr>
            <w:tcW w:w="1107" w:type="dxa"/>
            <w:vMerge/>
            <w:tcBorders>
              <w:top w:val="nil"/>
            </w:tcBorders>
          </w:tcPr>
          <w:p w14:paraId="32F3ACFE" w14:textId="77777777" w:rsidR="008E059F" w:rsidRDefault="008E059F">
            <w:pPr>
              <w:rPr>
                <w:sz w:val="2"/>
                <w:szCs w:val="2"/>
              </w:rPr>
            </w:pPr>
          </w:p>
        </w:tc>
      </w:tr>
      <w:tr w:rsidR="008E059F" w14:paraId="70DD40C8" w14:textId="77777777">
        <w:trPr>
          <w:trHeight w:val="589"/>
        </w:trPr>
        <w:tc>
          <w:tcPr>
            <w:tcW w:w="1903" w:type="dxa"/>
          </w:tcPr>
          <w:p w14:paraId="456F45A8" w14:textId="77777777" w:rsidR="008E059F" w:rsidRDefault="00EA339B">
            <w:pPr>
              <w:pStyle w:val="TableParagraph"/>
              <w:ind w:left="69"/>
              <w:rPr>
                <w:sz w:val="20"/>
              </w:rPr>
            </w:pPr>
            <w:r>
              <w:rPr>
                <w:sz w:val="20"/>
              </w:rPr>
              <w:t>Başarısız</w:t>
            </w:r>
          </w:p>
        </w:tc>
        <w:tc>
          <w:tcPr>
            <w:tcW w:w="951" w:type="dxa"/>
          </w:tcPr>
          <w:p w14:paraId="58D01E03" w14:textId="77777777" w:rsidR="008E059F" w:rsidRDefault="00EA339B">
            <w:pPr>
              <w:pStyle w:val="TableParagraph"/>
              <w:rPr>
                <w:sz w:val="20"/>
              </w:rPr>
            </w:pPr>
            <w:r>
              <w:rPr>
                <w:w w:val="99"/>
                <w:sz w:val="20"/>
              </w:rPr>
              <w:t>F</w:t>
            </w:r>
          </w:p>
        </w:tc>
        <w:tc>
          <w:tcPr>
            <w:tcW w:w="1985" w:type="dxa"/>
          </w:tcPr>
          <w:p w14:paraId="431C4D14" w14:textId="77777777" w:rsidR="008E059F" w:rsidRDefault="00EA339B">
            <w:pPr>
              <w:pStyle w:val="TableParagraph"/>
              <w:rPr>
                <w:sz w:val="20"/>
              </w:rPr>
            </w:pPr>
            <w:r>
              <w:rPr>
                <w:sz w:val="20"/>
              </w:rPr>
              <w:t>FF</w:t>
            </w:r>
          </w:p>
        </w:tc>
        <w:tc>
          <w:tcPr>
            <w:tcW w:w="1702" w:type="dxa"/>
          </w:tcPr>
          <w:p w14:paraId="2FC5D900" w14:textId="77777777" w:rsidR="008E059F" w:rsidRDefault="00EA339B">
            <w:pPr>
              <w:pStyle w:val="TableParagraph"/>
              <w:rPr>
                <w:sz w:val="20"/>
              </w:rPr>
            </w:pPr>
            <w:r>
              <w:rPr>
                <w:sz w:val="20"/>
              </w:rPr>
              <w:t>0-29</w:t>
            </w:r>
          </w:p>
        </w:tc>
        <w:tc>
          <w:tcPr>
            <w:tcW w:w="991" w:type="dxa"/>
          </w:tcPr>
          <w:p w14:paraId="54229B95" w14:textId="77777777" w:rsidR="008E059F" w:rsidRDefault="00EA339B">
            <w:pPr>
              <w:pStyle w:val="TableParagraph"/>
              <w:rPr>
                <w:sz w:val="20"/>
              </w:rPr>
            </w:pPr>
            <w:r>
              <w:rPr>
                <w:w w:val="99"/>
                <w:sz w:val="20"/>
              </w:rPr>
              <w:t>0</w:t>
            </w:r>
          </w:p>
        </w:tc>
        <w:tc>
          <w:tcPr>
            <w:tcW w:w="1107" w:type="dxa"/>
            <w:vMerge/>
            <w:tcBorders>
              <w:top w:val="nil"/>
            </w:tcBorders>
          </w:tcPr>
          <w:p w14:paraId="4EB78103" w14:textId="77777777" w:rsidR="008E059F" w:rsidRDefault="008E059F">
            <w:pPr>
              <w:rPr>
                <w:sz w:val="2"/>
                <w:szCs w:val="2"/>
              </w:rPr>
            </w:pPr>
          </w:p>
        </w:tc>
      </w:tr>
    </w:tbl>
    <w:p w14:paraId="730B19B0" w14:textId="77777777" w:rsidR="008E059F" w:rsidRDefault="008E059F">
      <w:pPr>
        <w:pStyle w:val="GvdeMetni"/>
      </w:pPr>
    </w:p>
    <w:p w14:paraId="0BE55779" w14:textId="77777777" w:rsidR="008E059F" w:rsidRDefault="008E059F">
      <w:pPr>
        <w:pStyle w:val="GvdeMetni"/>
      </w:pPr>
    </w:p>
    <w:p w14:paraId="78596B09" w14:textId="77777777" w:rsidR="008E059F" w:rsidRDefault="008E059F">
      <w:pPr>
        <w:pStyle w:val="GvdeMetni"/>
      </w:pPr>
    </w:p>
    <w:p w14:paraId="196C2D4F" w14:textId="77777777" w:rsidR="008E059F" w:rsidRDefault="008E059F">
      <w:pPr>
        <w:pStyle w:val="GvdeMetni"/>
        <w:spacing w:before="7"/>
        <w:rPr>
          <w:sz w:val="28"/>
        </w:rPr>
      </w:pPr>
    </w:p>
    <w:p w14:paraId="6612FF0C" w14:textId="77777777" w:rsidR="008E059F" w:rsidRDefault="00EA339B">
      <w:pPr>
        <w:pStyle w:val="GvdeMetni"/>
        <w:spacing w:before="99"/>
        <w:ind w:left="266"/>
      </w:pPr>
      <w:r>
        <w:t>YÜKSEK LİSANS ÖĞRENCİLERİ İÇİN NOT DÖNÜŞTÜRME TABLOSU</w:t>
      </w:r>
    </w:p>
    <w:p w14:paraId="01CF56EA" w14:textId="77777777" w:rsidR="008E059F" w:rsidRDefault="008E059F">
      <w:pPr>
        <w:pStyle w:val="GvdeMetni"/>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954"/>
        <w:gridCol w:w="1982"/>
        <w:gridCol w:w="997"/>
        <w:gridCol w:w="1232"/>
        <w:gridCol w:w="1414"/>
      </w:tblGrid>
      <w:tr w:rsidR="008E059F" w14:paraId="494EA725" w14:textId="77777777">
        <w:trPr>
          <w:trHeight w:val="858"/>
        </w:trPr>
        <w:tc>
          <w:tcPr>
            <w:tcW w:w="2857" w:type="dxa"/>
            <w:gridSpan w:val="2"/>
          </w:tcPr>
          <w:p w14:paraId="0A460389" w14:textId="77777777" w:rsidR="008E059F" w:rsidRDefault="00EA339B">
            <w:pPr>
              <w:pStyle w:val="TableParagraph"/>
              <w:spacing w:line="278" w:lineRule="auto"/>
              <w:ind w:left="69" w:right="70"/>
              <w:rPr>
                <w:b/>
                <w:i/>
                <w:sz w:val="20"/>
              </w:rPr>
            </w:pPr>
            <w:r>
              <w:rPr>
                <w:b/>
                <w:i/>
                <w:sz w:val="20"/>
              </w:rPr>
              <w:t>AB ÜYESİ ÜLKEDE ALINAN NOT</w:t>
            </w:r>
          </w:p>
        </w:tc>
        <w:tc>
          <w:tcPr>
            <w:tcW w:w="5625" w:type="dxa"/>
            <w:gridSpan w:val="4"/>
          </w:tcPr>
          <w:p w14:paraId="3B025EE9" w14:textId="77777777" w:rsidR="008E059F" w:rsidRDefault="008E059F">
            <w:pPr>
              <w:pStyle w:val="TableParagraph"/>
              <w:spacing w:before="9"/>
              <w:ind w:left="0"/>
              <w:rPr>
                <w:sz w:val="21"/>
              </w:rPr>
            </w:pPr>
          </w:p>
          <w:p w14:paraId="64FFEDB2" w14:textId="4E8F42E7" w:rsidR="008E059F" w:rsidRDefault="005546AB">
            <w:pPr>
              <w:pStyle w:val="TableParagraph"/>
              <w:spacing w:before="1"/>
              <w:ind w:left="68"/>
              <w:rPr>
                <w:b/>
                <w:i/>
                <w:sz w:val="20"/>
              </w:rPr>
            </w:pPr>
            <w:r>
              <w:rPr>
                <w:b/>
                <w:i/>
                <w:sz w:val="20"/>
              </w:rPr>
              <w:t xml:space="preserve">TEKİRDAĞ </w:t>
            </w:r>
            <w:r w:rsidR="00EA339B">
              <w:rPr>
                <w:b/>
                <w:i/>
                <w:sz w:val="20"/>
              </w:rPr>
              <w:t>NAMIK KEMAL ÜNİVERSİTESİ NOT SİSTEMİ</w:t>
            </w:r>
          </w:p>
        </w:tc>
      </w:tr>
      <w:tr w:rsidR="008E059F" w14:paraId="145BB133" w14:textId="77777777">
        <w:trPr>
          <w:trHeight w:val="860"/>
        </w:trPr>
        <w:tc>
          <w:tcPr>
            <w:tcW w:w="1903" w:type="dxa"/>
            <w:tcBorders>
              <w:bottom w:val="double" w:sz="1" w:space="0" w:color="000000"/>
            </w:tcBorders>
          </w:tcPr>
          <w:p w14:paraId="696F1C57" w14:textId="77777777" w:rsidR="008E059F" w:rsidRDefault="00EA339B">
            <w:pPr>
              <w:pStyle w:val="TableParagraph"/>
              <w:tabs>
                <w:tab w:val="left" w:pos="1289"/>
              </w:tabs>
              <w:spacing w:before="121" w:line="276" w:lineRule="auto"/>
              <w:ind w:left="69" w:right="61"/>
              <w:rPr>
                <w:i/>
                <w:sz w:val="20"/>
              </w:rPr>
            </w:pPr>
            <w:r>
              <w:rPr>
                <w:i/>
                <w:sz w:val="20"/>
              </w:rPr>
              <w:t>İstatistiki</w:t>
            </w:r>
            <w:r>
              <w:rPr>
                <w:i/>
                <w:sz w:val="20"/>
              </w:rPr>
              <w:tab/>
            </w:r>
            <w:r>
              <w:rPr>
                <w:i/>
                <w:spacing w:val="-4"/>
                <w:sz w:val="20"/>
              </w:rPr>
              <w:t xml:space="preserve">Başarı </w:t>
            </w:r>
            <w:r>
              <w:rPr>
                <w:i/>
                <w:sz w:val="20"/>
              </w:rPr>
              <w:t>Durumu</w:t>
            </w:r>
          </w:p>
        </w:tc>
        <w:tc>
          <w:tcPr>
            <w:tcW w:w="954" w:type="dxa"/>
            <w:tcBorders>
              <w:bottom w:val="double" w:sz="1" w:space="0" w:color="000000"/>
            </w:tcBorders>
          </w:tcPr>
          <w:p w14:paraId="669F3701" w14:textId="77777777" w:rsidR="008E059F" w:rsidRDefault="00EA339B">
            <w:pPr>
              <w:pStyle w:val="TableParagraph"/>
              <w:spacing w:before="121"/>
              <w:rPr>
                <w:i/>
                <w:sz w:val="20"/>
              </w:rPr>
            </w:pPr>
            <w:r>
              <w:rPr>
                <w:i/>
                <w:sz w:val="20"/>
              </w:rPr>
              <w:t>ECTS</w:t>
            </w:r>
          </w:p>
          <w:p w14:paraId="050E15CE" w14:textId="77777777" w:rsidR="008E059F" w:rsidRDefault="00EA339B">
            <w:pPr>
              <w:pStyle w:val="TableParagraph"/>
              <w:spacing w:before="35"/>
              <w:rPr>
                <w:i/>
                <w:sz w:val="20"/>
              </w:rPr>
            </w:pPr>
            <w:r>
              <w:rPr>
                <w:i/>
                <w:sz w:val="20"/>
              </w:rPr>
              <w:t>Notu</w:t>
            </w:r>
          </w:p>
        </w:tc>
        <w:tc>
          <w:tcPr>
            <w:tcW w:w="1982" w:type="dxa"/>
            <w:tcBorders>
              <w:bottom w:val="double" w:sz="1" w:space="0" w:color="000000"/>
            </w:tcBorders>
          </w:tcPr>
          <w:p w14:paraId="08673DA8" w14:textId="77777777" w:rsidR="008E059F" w:rsidRDefault="00EA339B">
            <w:pPr>
              <w:pStyle w:val="TableParagraph"/>
              <w:tabs>
                <w:tab w:val="left" w:pos="1270"/>
              </w:tabs>
              <w:spacing w:before="121" w:line="276" w:lineRule="auto"/>
              <w:ind w:left="68" w:right="59"/>
              <w:rPr>
                <w:i/>
                <w:sz w:val="20"/>
              </w:rPr>
            </w:pPr>
            <w:r>
              <w:rPr>
                <w:i/>
                <w:sz w:val="20"/>
              </w:rPr>
              <w:t>NKÜ'deki</w:t>
            </w:r>
            <w:r>
              <w:rPr>
                <w:i/>
                <w:sz w:val="20"/>
              </w:rPr>
              <w:tab/>
            </w:r>
            <w:r>
              <w:rPr>
                <w:i/>
                <w:spacing w:val="-4"/>
                <w:sz w:val="20"/>
              </w:rPr>
              <w:t xml:space="preserve">eşdeğer </w:t>
            </w:r>
            <w:r>
              <w:rPr>
                <w:i/>
                <w:sz w:val="20"/>
              </w:rPr>
              <w:t>sistem</w:t>
            </w:r>
          </w:p>
        </w:tc>
        <w:tc>
          <w:tcPr>
            <w:tcW w:w="997" w:type="dxa"/>
            <w:tcBorders>
              <w:bottom w:val="double" w:sz="1" w:space="0" w:color="000000"/>
            </w:tcBorders>
          </w:tcPr>
          <w:p w14:paraId="7BB503E2" w14:textId="77777777" w:rsidR="008E059F" w:rsidRDefault="00EA339B">
            <w:pPr>
              <w:pStyle w:val="TableParagraph"/>
              <w:spacing w:before="121" w:line="276" w:lineRule="auto"/>
              <w:ind w:right="22"/>
              <w:rPr>
                <w:i/>
                <w:sz w:val="20"/>
              </w:rPr>
            </w:pPr>
            <w:r>
              <w:rPr>
                <w:i/>
                <w:sz w:val="20"/>
              </w:rPr>
              <w:t xml:space="preserve">4'lük </w:t>
            </w:r>
            <w:r>
              <w:rPr>
                <w:i/>
                <w:w w:val="95"/>
                <w:sz w:val="20"/>
              </w:rPr>
              <w:t>sistem</w:t>
            </w:r>
          </w:p>
        </w:tc>
        <w:tc>
          <w:tcPr>
            <w:tcW w:w="1232" w:type="dxa"/>
            <w:tcBorders>
              <w:bottom w:val="double" w:sz="1" w:space="0" w:color="000000"/>
            </w:tcBorders>
          </w:tcPr>
          <w:p w14:paraId="6A62FB98" w14:textId="77777777" w:rsidR="008E059F" w:rsidRDefault="00EA339B">
            <w:pPr>
              <w:pStyle w:val="TableParagraph"/>
              <w:spacing w:before="121" w:line="276" w:lineRule="auto"/>
              <w:ind w:left="66" w:right="56"/>
              <w:rPr>
                <w:i/>
                <w:sz w:val="20"/>
              </w:rPr>
            </w:pPr>
            <w:r>
              <w:rPr>
                <w:i/>
                <w:w w:val="95"/>
                <w:sz w:val="20"/>
              </w:rPr>
              <w:t xml:space="preserve">100'lük </w:t>
            </w:r>
            <w:r>
              <w:rPr>
                <w:i/>
                <w:sz w:val="20"/>
              </w:rPr>
              <w:t>sistem</w:t>
            </w:r>
          </w:p>
        </w:tc>
        <w:tc>
          <w:tcPr>
            <w:tcW w:w="1414" w:type="dxa"/>
            <w:tcBorders>
              <w:bottom w:val="double" w:sz="1" w:space="0" w:color="000000"/>
            </w:tcBorders>
          </w:tcPr>
          <w:p w14:paraId="725AF837" w14:textId="77777777" w:rsidR="008E059F" w:rsidRDefault="008E059F">
            <w:pPr>
              <w:pStyle w:val="TableParagraph"/>
              <w:spacing w:before="9"/>
              <w:ind w:left="0"/>
              <w:rPr>
                <w:sz w:val="21"/>
              </w:rPr>
            </w:pPr>
          </w:p>
          <w:p w14:paraId="26F15BCE" w14:textId="77777777" w:rsidR="008E059F" w:rsidRDefault="00EA339B">
            <w:pPr>
              <w:pStyle w:val="TableParagraph"/>
              <w:spacing w:before="1"/>
              <w:ind w:left="75"/>
              <w:rPr>
                <w:i/>
                <w:sz w:val="20"/>
              </w:rPr>
            </w:pPr>
            <w:r>
              <w:rPr>
                <w:i/>
                <w:sz w:val="20"/>
              </w:rPr>
              <w:t>Tanımlama</w:t>
            </w:r>
          </w:p>
        </w:tc>
      </w:tr>
      <w:tr w:rsidR="008E059F" w14:paraId="6D3D0C68" w14:textId="77777777">
        <w:trPr>
          <w:trHeight w:val="590"/>
        </w:trPr>
        <w:tc>
          <w:tcPr>
            <w:tcW w:w="1903" w:type="dxa"/>
            <w:tcBorders>
              <w:top w:val="double" w:sz="1" w:space="0" w:color="000000"/>
            </w:tcBorders>
          </w:tcPr>
          <w:p w14:paraId="1CA9B052" w14:textId="77777777" w:rsidR="008E059F" w:rsidRDefault="00EA339B">
            <w:pPr>
              <w:pStyle w:val="TableParagraph"/>
              <w:ind w:left="69"/>
              <w:rPr>
                <w:sz w:val="20"/>
              </w:rPr>
            </w:pPr>
            <w:r>
              <w:rPr>
                <w:sz w:val="20"/>
              </w:rPr>
              <w:t>İlk 10%</w:t>
            </w:r>
          </w:p>
        </w:tc>
        <w:tc>
          <w:tcPr>
            <w:tcW w:w="954" w:type="dxa"/>
            <w:tcBorders>
              <w:top w:val="double" w:sz="1" w:space="0" w:color="000000"/>
            </w:tcBorders>
          </w:tcPr>
          <w:p w14:paraId="34DDF582" w14:textId="77777777" w:rsidR="008E059F" w:rsidRDefault="00EA339B">
            <w:pPr>
              <w:pStyle w:val="TableParagraph"/>
              <w:rPr>
                <w:sz w:val="20"/>
              </w:rPr>
            </w:pPr>
            <w:r>
              <w:rPr>
                <w:w w:val="99"/>
                <w:sz w:val="20"/>
              </w:rPr>
              <w:t>A</w:t>
            </w:r>
          </w:p>
        </w:tc>
        <w:tc>
          <w:tcPr>
            <w:tcW w:w="1982" w:type="dxa"/>
            <w:tcBorders>
              <w:top w:val="double" w:sz="1" w:space="0" w:color="000000"/>
            </w:tcBorders>
          </w:tcPr>
          <w:p w14:paraId="42204D26" w14:textId="77777777" w:rsidR="008E059F" w:rsidRDefault="00EA339B">
            <w:pPr>
              <w:pStyle w:val="TableParagraph"/>
              <w:ind w:left="68"/>
              <w:rPr>
                <w:sz w:val="20"/>
              </w:rPr>
            </w:pPr>
            <w:r>
              <w:rPr>
                <w:sz w:val="20"/>
              </w:rPr>
              <w:t>AA</w:t>
            </w:r>
          </w:p>
        </w:tc>
        <w:tc>
          <w:tcPr>
            <w:tcW w:w="997" w:type="dxa"/>
            <w:tcBorders>
              <w:top w:val="double" w:sz="1" w:space="0" w:color="000000"/>
            </w:tcBorders>
          </w:tcPr>
          <w:p w14:paraId="6C3C8B3C" w14:textId="77777777" w:rsidR="008E059F" w:rsidRDefault="00EA339B">
            <w:pPr>
              <w:pStyle w:val="TableParagraph"/>
              <w:rPr>
                <w:sz w:val="20"/>
              </w:rPr>
            </w:pPr>
            <w:r>
              <w:rPr>
                <w:w w:val="99"/>
                <w:sz w:val="20"/>
              </w:rPr>
              <w:t>4</w:t>
            </w:r>
          </w:p>
        </w:tc>
        <w:tc>
          <w:tcPr>
            <w:tcW w:w="1232" w:type="dxa"/>
            <w:tcBorders>
              <w:top w:val="double" w:sz="1" w:space="0" w:color="000000"/>
            </w:tcBorders>
          </w:tcPr>
          <w:p w14:paraId="69B6743B" w14:textId="77777777" w:rsidR="008E059F" w:rsidRDefault="00EA339B">
            <w:pPr>
              <w:pStyle w:val="TableParagraph"/>
              <w:ind w:left="66"/>
              <w:rPr>
                <w:sz w:val="20"/>
              </w:rPr>
            </w:pPr>
            <w:r>
              <w:rPr>
                <w:sz w:val="20"/>
              </w:rPr>
              <w:t>90-100</w:t>
            </w:r>
          </w:p>
        </w:tc>
        <w:tc>
          <w:tcPr>
            <w:tcW w:w="1414" w:type="dxa"/>
            <w:tcBorders>
              <w:top w:val="double" w:sz="1" w:space="0" w:color="000000"/>
            </w:tcBorders>
          </w:tcPr>
          <w:p w14:paraId="1795E9F5" w14:textId="77777777" w:rsidR="008E059F" w:rsidRDefault="00EA339B">
            <w:pPr>
              <w:pStyle w:val="TableParagraph"/>
              <w:ind w:left="75"/>
              <w:rPr>
                <w:sz w:val="20"/>
              </w:rPr>
            </w:pPr>
            <w:r>
              <w:rPr>
                <w:sz w:val="20"/>
              </w:rPr>
              <w:t>Mükemmel</w:t>
            </w:r>
          </w:p>
        </w:tc>
      </w:tr>
      <w:tr w:rsidR="008E059F" w14:paraId="5B22B84C" w14:textId="77777777">
        <w:trPr>
          <w:trHeight w:val="590"/>
        </w:trPr>
        <w:tc>
          <w:tcPr>
            <w:tcW w:w="1903" w:type="dxa"/>
          </w:tcPr>
          <w:p w14:paraId="5A11D8A8" w14:textId="77777777" w:rsidR="008E059F" w:rsidRDefault="00EA339B">
            <w:pPr>
              <w:pStyle w:val="TableParagraph"/>
              <w:ind w:left="69"/>
              <w:rPr>
                <w:sz w:val="20"/>
              </w:rPr>
            </w:pPr>
            <w:r>
              <w:rPr>
                <w:sz w:val="20"/>
              </w:rPr>
              <w:t>Sonraki 25%</w:t>
            </w:r>
          </w:p>
        </w:tc>
        <w:tc>
          <w:tcPr>
            <w:tcW w:w="954" w:type="dxa"/>
          </w:tcPr>
          <w:p w14:paraId="79B18E01" w14:textId="77777777" w:rsidR="008E059F" w:rsidRDefault="00EA339B">
            <w:pPr>
              <w:pStyle w:val="TableParagraph"/>
              <w:rPr>
                <w:sz w:val="20"/>
              </w:rPr>
            </w:pPr>
            <w:r>
              <w:rPr>
                <w:w w:val="99"/>
                <w:sz w:val="20"/>
              </w:rPr>
              <w:t>B</w:t>
            </w:r>
          </w:p>
        </w:tc>
        <w:tc>
          <w:tcPr>
            <w:tcW w:w="1982" w:type="dxa"/>
          </w:tcPr>
          <w:p w14:paraId="2BA1A890" w14:textId="77777777" w:rsidR="008E059F" w:rsidRDefault="00EA339B">
            <w:pPr>
              <w:pStyle w:val="TableParagraph"/>
              <w:ind w:left="68"/>
              <w:rPr>
                <w:sz w:val="20"/>
              </w:rPr>
            </w:pPr>
            <w:r>
              <w:rPr>
                <w:sz w:val="20"/>
              </w:rPr>
              <w:t>BA</w:t>
            </w:r>
          </w:p>
        </w:tc>
        <w:tc>
          <w:tcPr>
            <w:tcW w:w="997" w:type="dxa"/>
          </w:tcPr>
          <w:p w14:paraId="73CC5AE0" w14:textId="77777777" w:rsidR="008E059F" w:rsidRDefault="00EA339B">
            <w:pPr>
              <w:pStyle w:val="TableParagraph"/>
              <w:rPr>
                <w:sz w:val="20"/>
              </w:rPr>
            </w:pPr>
            <w:r>
              <w:rPr>
                <w:sz w:val="20"/>
              </w:rPr>
              <w:t>3,5</w:t>
            </w:r>
          </w:p>
        </w:tc>
        <w:tc>
          <w:tcPr>
            <w:tcW w:w="1232" w:type="dxa"/>
          </w:tcPr>
          <w:p w14:paraId="01C736EB" w14:textId="77777777" w:rsidR="008E059F" w:rsidRDefault="00EA339B">
            <w:pPr>
              <w:pStyle w:val="TableParagraph"/>
              <w:ind w:left="66"/>
              <w:rPr>
                <w:sz w:val="20"/>
              </w:rPr>
            </w:pPr>
            <w:r>
              <w:rPr>
                <w:sz w:val="20"/>
              </w:rPr>
              <w:t>85-89</w:t>
            </w:r>
          </w:p>
        </w:tc>
        <w:tc>
          <w:tcPr>
            <w:tcW w:w="1414" w:type="dxa"/>
          </w:tcPr>
          <w:p w14:paraId="52928C71" w14:textId="77777777" w:rsidR="008E059F" w:rsidRDefault="00EA339B">
            <w:pPr>
              <w:pStyle w:val="TableParagraph"/>
              <w:ind w:left="75"/>
              <w:rPr>
                <w:sz w:val="20"/>
              </w:rPr>
            </w:pPr>
            <w:r>
              <w:rPr>
                <w:sz w:val="20"/>
              </w:rPr>
              <w:t>Çok İyi</w:t>
            </w:r>
          </w:p>
        </w:tc>
      </w:tr>
      <w:tr w:rsidR="008E059F" w14:paraId="43896ACF" w14:textId="77777777">
        <w:trPr>
          <w:trHeight w:val="589"/>
        </w:trPr>
        <w:tc>
          <w:tcPr>
            <w:tcW w:w="1903" w:type="dxa"/>
          </w:tcPr>
          <w:p w14:paraId="5E052602" w14:textId="77777777" w:rsidR="008E059F" w:rsidRDefault="00EA339B">
            <w:pPr>
              <w:pStyle w:val="TableParagraph"/>
              <w:ind w:left="69"/>
              <w:rPr>
                <w:sz w:val="20"/>
              </w:rPr>
            </w:pPr>
            <w:r>
              <w:rPr>
                <w:sz w:val="20"/>
              </w:rPr>
              <w:t>Sonraki 30%</w:t>
            </w:r>
          </w:p>
        </w:tc>
        <w:tc>
          <w:tcPr>
            <w:tcW w:w="954" w:type="dxa"/>
          </w:tcPr>
          <w:p w14:paraId="068FF1DF" w14:textId="77777777" w:rsidR="008E059F" w:rsidRDefault="00EA339B">
            <w:pPr>
              <w:pStyle w:val="TableParagraph"/>
              <w:rPr>
                <w:sz w:val="20"/>
              </w:rPr>
            </w:pPr>
            <w:r>
              <w:rPr>
                <w:w w:val="99"/>
                <w:sz w:val="20"/>
              </w:rPr>
              <w:t>C</w:t>
            </w:r>
          </w:p>
        </w:tc>
        <w:tc>
          <w:tcPr>
            <w:tcW w:w="1982" w:type="dxa"/>
            <w:vMerge w:val="restart"/>
          </w:tcPr>
          <w:p w14:paraId="5B3EB501" w14:textId="77777777" w:rsidR="008E059F" w:rsidRDefault="008E059F">
            <w:pPr>
              <w:pStyle w:val="TableParagraph"/>
              <w:spacing w:before="0"/>
              <w:ind w:left="0"/>
            </w:pPr>
          </w:p>
          <w:p w14:paraId="0FB2BBA9" w14:textId="77777777" w:rsidR="008E059F" w:rsidRDefault="00EA339B">
            <w:pPr>
              <w:pStyle w:val="TableParagraph"/>
              <w:spacing w:before="161"/>
              <w:ind w:left="68"/>
              <w:rPr>
                <w:sz w:val="20"/>
              </w:rPr>
            </w:pPr>
            <w:r>
              <w:rPr>
                <w:sz w:val="20"/>
              </w:rPr>
              <w:t>BB</w:t>
            </w:r>
          </w:p>
        </w:tc>
        <w:tc>
          <w:tcPr>
            <w:tcW w:w="997" w:type="dxa"/>
            <w:vMerge w:val="restart"/>
          </w:tcPr>
          <w:p w14:paraId="56D60322" w14:textId="77777777" w:rsidR="008E059F" w:rsidRDefault="008E059F">
            <w:pPr>
              <w:pStyle w:val="TableParagraph"/>
              <w:spacing w:before="0"/>
              <w:ind w:left="0"/>
            </w:pPr>
          </w:p>
          <w:p w14:paraId="6B4306CA" w14:textId="77777777" w:rsidR="008E059F" w:rsidRDefault="00EA339B">
            <w:pPr>
              <w:pStyle w:val="TableParagraph"/>
              <w:spacing w:before="161"/>
              <w:rPr>
                <w:sz w:val="20"/>
              </w:rPr>
            </w:pPr>
            <w:r>
              <w:rPr>
                <w:w w:val="99"/>
                <w:sz w:val="20"/>
              </w:rPr>
              <w:t>3</w:t>
            </w:r>
          </w:p>
        </w:tc>
        <w:tc>
          <w:tcPr>
            <w:tcW w:w="1232" w:type="dxa"/>
          </w:tcPr>
          <w:p w14:paraId="0568729D" w14:textId="77777777" w:rsidR="008E059F" w:rsidRDefault="00EA339B">
            <w:pPr>
              <w:pStyle w:val="TableParagraph"/>
              <w:ind w:left="66"/>
              <w:rPr>
                <w:sz w:val="20"/>
              </w:rPr>
            </w:pPr>
            <w:r>
              <w:rPr>
                <w:sz w:val="20"/>
              </w:rPr>
              <w:t>75-79</w:t>
            </w:r>
          </w:p>
        </w:tc>
        <w:tc>
          <w:tcPr>
            <w:tcW w:w="1414" w:type="dxa"/>
          </w:tcPr>
          <w:p w14:paraId="1301B500" w14:textId="77777777" w:rsidR="008E059F" w:rsidRDefault="00EA339B">
            <w:pPr>
              <w:pStyle w:val="TableParagraph"/>
              <w:ind w:left="75"/>
              <w:rPr>
                <w:sz w:val="20"/>
              </w:rPr>
            </w:pPr>
            <w:r>
              <w:rPr>
                <w:sz w:val="20"/>
              </w:rPr>
              <w:t>İyi</w:t>
            </w:r>
          </w:p>
        </w:tc>
      </w:tr>
      <w:tr w:rsidR="008E059F" w14:paraId="43451E47" w14:textId="77777777">
        <w:trPr>
          <w:trHeight w:val="587"/>
        </w:trPr>
        <w:tc>
          <w:tcPr>
            <w:tcW w:w="1903" w:type="dxa"/>
          </w:tcPr>
          <w:p w14:paraId="09D36EAE" w14:textId="77777777" w:rsidR="008E059F" w:rsidRDefault="00EA339B">
            <w:pPr>
              <w:pStyle w:val="TableParagraph"/>
              <w:ind w:left="69"/>
              <w:rPr>
                <w:sz w:val="20"/>
              </w:rPr>
            </w:pPr>
            <w:r>
              <w:rPr>
                <w:sz w:val="20"/>
              </w:rPr>
              <w:t>Sonraki 25%</w:t>
            </w:r>
          </w:p>
        </w:tc>
        <w:tc>
          <w:tcPr>
            <w:tcW w:w="954" w:type="dxa"/>
          </w:tcPr>
          <w:p w14:paraId="0F49B6C5" w14:textId="77777777" w:rsidR="008E059F" w:rsidRDefault="00EA339B">
            <w:pPr>
              <w:pStyle w:val="TableParagraph"/>
              <w:rPr>
                <w:sz w:val="20"/>
              </w:rPr>
            </w:pPr>
            <w:r>
              <w:rPr>
                <w:w w:val="99"/>
                <w:sz w:val="20"/>
              </w:rPr>
              <w:t>D</w:t>
            </w:r>
          </w:p>
        </w:tc>
        <w:tc>
          <w:tcPr>
            <w:tcW w:w="1982" w:type="dxa"/>
            <w:vMerge/>
            <w:tcBorders>
              <w:top w:val="nil"/>
            </w:tcBorders>
          </w:tcPr>
          <w:p w14:paraId="19F567D4" w14:textId="77777777" w:rsidR="008E059F" w:rsidRDefault="008E059F">
            <w:pPr>
              <w:rPr>
                <w:sz w:val="2"/>
                <w:szCs w:val="2"/>
              </w:rPr>
            </w:pPr>
          </w:p>
        </w:tc>
        <w:tc>
          <w:tcPr>
            <w:tcW w:w="997" w:type="dxa"/>
            <w:vMerge/>
            <w:tcBorders>
              <w:top w:val="nil"/>
            </w:tcBorders>
          </w:tcPr>
          <w:p w14:paraId="769CF5B2" w14:textId="77777777" w:rsidR="008E059F" w:rsidRDefault="008E059F">
            <w:pPr>
              <w:rPr>
                <w:sz w:val="2"/>
                <w:szCs w:val="2"/>
              </w:rPr>
            </w:pPr>
          </w:p>
        </w:tc>
        <w:tc>
          <w:tcPr>
            <w:tcW w:w="1232" w:type="dxa"/>
          </w:tcPr>
          <w:p w14:paraId="7E8AAB04" w14:textId="77777777" w:rsidR="008E059F" w:rsidRDefault="00EA339B">
            <w:pPr>
              <w:pStyle w:val="TableParagraph"/>
              <w:ind w:left="66"/>
              <w:rPr>
                <w:sz w:val="20"/>
              </w:rPr>
            </w:pPr>
            <w:r>
              <w:rPr>
                <w:sz w:val="20"/>
              </w:rPr>
              <w:t>70-74</w:t>
            </w:r>
          </w:p>
        </w:tc>
        <w:tc>
          <w:tcPr>
            <w:tcW w:w="1414" w:type="dxa"/>
          </w:tcPr>
          <w:p w14:paraId="28CFB450" w14:textId="77777777" w:rsidR="008E059F" w:rsidRDefault="00EA339B">
            <w:pPr>
              <w:pStyle w:val="TableParagraph"/>
              <w:ind w:left="75"/>
              <w:rPr>
                <w:sz w:val="20"/>
              </w:rPr>
            </w:pPr>
            <w:r>
              <w:rPr>
                <w:sz w:val="20"/>
              </w:rPr>
              <w:t>Başarılı</w:t>
            </w:r>
          </w:p>
        </w:tc>
      </w:tr>
      <w:tr w:rsidR="008E059F" w14:paraId="2CE742BB" w14:textId="77777777">
        <w:trPr>
          <w:trHeight w:val="590"/>
        </w:trPr>
        <w:tc>
          <w:tcPr>
            <w:tcW w:w="1903" w:type="dxa"/>
          </w:tcPr>
          <w:p w14:paraId="4DA772FE" w14:textId="77777777" w:rsidR="008E059F" w:rsidRDefault="00EA339B">
            <w:pPr>
              <w:pStyle w:val="TableParagraph"/>
              <w:spacing w:before="121"/>
              <w:ind w:left="69"/>
              <w:rPr>
                <w:sz w:val="20"/>
              </w:rPr>
            </w:pPr>
            <w:r>
              <w:rPr>
                <w:sz w:val="20"/>
              </w:rPr>
              <w:t>Sonraki 10%</w:t>
            </w:r>
          </w:p>
        </w:tc>
        <w:tc>
          <w:tcPr>
            <w:tcW w:w="954" w:type="dxa"/>
          </w:tcPr>
          <w:p w14:paraId="2BF35503" w14:textId="77777777" w:rsidR="008E059F" w:rsidRDefault="00EA339B">
            <w:pPr>
              <w:pStyle w:val="TableParagraph"/>
              <w:spacing w:before="121"/>
              <w:rPr>
                <w:sz w:val="20"/>
              </w:rPr>
            </w:pPr>
            <w:r>
              <w:rPr>
                <w:w w:val="99"/>
                <w:sz w:val="20"/>
              </w:rPr>
              <w:t>E</w:t>
            </w:r>
          </w:p>
        </w:tc>
        <w:tc>
          <w:tcPr>
            <w:tcW w:w="1982" w:type="dxa"/>
          </w:tcPr>
          <w:p w14:paraId="31112CA8" w14:textId="77777777" w:rsidR="008E059F" w:rsidRDefault="00EA339B">
            <w:pPr>
              <w:pStyle w:val="TableParagraph"/>
              <w:spacing w:before="121"/>
              <w:ind w:left="68"/>
              <w:rPr>
                <w:sz w:val="20"/>
              </w:rPr>
            </w:pPr>
            <w:r>
              <w:rPr>
                <w:sz w:val="20"/>
              </w:rPr>
              <w:t>CB</w:t>
            </w:r>
          </w:p>
        </w:tc>
        <w:tc>
          <w:tcPr>
            <w:tcW w:w="997" w:type="dxa"/>
          </w:tcPr>
          <w:p w14:paraId="7AEAF754" w14:textId="77777777" w:rsidR="008E059F" w:rsidRDefault="00EA339B">
            <w:pPr>
              <w:pStyle w:val="TableParagraph"/>
              <w:spacing w:before="121"/>
              <w:rPr>
                <w:sz w:val="20"/>
              </w:rPr>
            </w:pPr>
            <w:r>
              <w:rPr>
                <w:sz w:val="20"/>
              </w:rPr>
              <w:t>2,5</w:t>
            </w:r>
          </w:p>
        </w:tc>
        <w:tc>
          <w:tcPr>
            <w:tcW w:w="1232" w:type="dxa"/>
          </w:tcPr>
          <w:p w14:paraId="231F4A9A" w14:textId="77777777" w:rsidR="008E059F" w:rsidRDefault="00EA339B">
            <w:pPr>
              <w:pStyle w:val="TableParagraph"/>
              <w:spacing w:before="121"/>
              <w:ind w:left="66"/>
              <w:rPr>
                <w:sz w:val="20"/>
              </w:rPr>
            </w:pPr>
            <w:r>
              <w:rPr>
                <w:sz w:val="20"/>
              </w:rPr>
              <w:t>65-69</w:t>
            </w:r>
          </w:p>
        </w:tc>
        <w:tc>
          <w:tcPr>
            <w:tcW w:w="1414" w:type="dxa"/>
          </w:tcPr>
          <w:p w14:paraId="027DBDCE" w14:textId="77777777" w:rsidR="008E059F" w:rsidRDefault="00EA339B">
            <w:pPr>
              <w:pStyle w:val="TableParagraph"/>
              <w:spacing w:before="121"/>
              <w:ind w:left="75"/>
              <w:rPr>
                <w:sz w:val="20"/>
              </w:rPr>
            </w:pPr>
            <w:r>
              <w:rPr>
                <w:sz w:val="20"/>
              </w:rPr>
              <w:t>Yeterli</w:t>
            </w:r>
          </w:p>
        </w:tc>
      </w:tr>
      <w:tr w:rsidR="008E059F" w14:paraId="6DF4AC4E" w14:textId="77777777">
        <w:trPr>
          <w:trHeight w:val="590"/>
        </w:trPr>
        <w:tc>
          <w:tcPr>
            <w:tcW w:w="1903" w:type="dxa"/>
            <w:vMerge w:val="restart"/>
          </w:tcPr>
          <w:p w14:paraId="3EF7D0EF" w14:textId="77777777" w:rsidR="008E059F" w:rsidRDefault="008E059F">
            <w:pPr>
              <w:pStyle w:val="TableParagraph"/>
              <w:spacing w:before="0"/>
              <w:ind w:left="0"/>
            </w:pPr>
          </w:p>
          <w:p w14:paraId="441738DD" w14:textId="77777777" w:rsidR="008E059F" w:rsidRDefault="00EA339B">
            <w:pPr>
              <w:pStyle w:val="TableParagraph"/>
              <w:spacing w:before="161"/>
              <w:ind w:left="69"/>
              <w:rPr>
                <w:sz w:val="20"/>
              </w:rPr>
            </w:pPr>
            <w:r>
              <w:rPr>
                <w:sz w:val="20"/>
              </w:rPr>
              <w:t>Başarısız</w:t>
            </w:r>
          </w:p>
        </w:tc>
        <w:tc>
          <w:tcPr>
            <w:tcW w:w="954" w:type="dxa"/>
            <w:vMerge w:val="restart"/>
          </w:tcPr>
          <w:p w14:paraId="49ED6088" w14:textId="77777777" w:rsidR="008E059F" w:rsidRDefault="008E059F">
            <w:pPr>
              <w:pStyle w:val="TableParagraph"/>
              <w:spacing w:before="0"/>
              <w:ind w:left="0"/>
            </w:pPr>
          </w:p>
          <w:p w14:paraId="329D30FA" w14:textId="77777777" w:rsidR="008E059F" w:rsidRDefault="00EA339B">
            <w:pPr>
              <w:pStyle w:val="TableParagraph"/>
              <w:spacing w:before="161"/>
              <w:rPr>
                <w:sz w:val="20"/>
              </w:rPr>
            </w:pPr>
            <w:r>
              <w:rPr>
                <w:sz w:val="20"/>
              </w:rPr>
              <w:t>FX</w:t>
            </w:r>
          </w:p>
        </w:tc>
        <w:tc>
          <w:tcPr>
            <w:tcW w:w="1982" w:type="dxa"/>
          </w:tcPr>
          <w:p w14:paraId="536CAC0E" w14:textId="77777777" w:rsidR="008E059F" w:rsidRDefault="00EA339B">
            <w:pPr>
              <w:pStyle w:val="TableParagraph"/>
              <w:ind w:left="68"/>
              <w:rPr>
                <w:sz w:val="20"/>
              </w:rPr>
            </w:pPr>
            <w:r>
              <w:rPr>
                <w:sz w:val="20"/>
              </w:rPr>
              <w:t>CC</w:t>
            </w:r>
          </w:p>
        </w:tc>
        <w:tc>
          <w:tcPr>
            <w:tcW w:w="997" w:type="dxa"/>
          </w:tcPr>
          <w:p w14:paraId="0B1168A2" w14:textId="77777777" w:rsidR="008E059F" w:rsidRDefault="00EA339B">
            <w:pPr>
              <w:pStyle w:val="TableParagraph"/>
              <w:rPr>
                <w:sz w:val="20"/>
              </w:rPr>
            </w:pPr>
            <w:r>
              <w:rPr>
                <w:sz w:val="20"/>
              </w:rPr>
              <w:t>2,25</w:t>
            </w:r>
          </w:p>
        </w:tc>
        <w:tc>
          <w:tcPr>
            <w:tcW w:w="1232" w:type="dxa"/>
          </w:tcPr>
          <w:p w14:paraId="35E7D6A2" w14:textId="77777777" w:rsidR="008E059F" w:rsidRDefault="00EA339B">
            <w:pPr>
              <w:pStyle w:val="TableParagraph"/>
              <w:ind w:left="66"/>
              <w:rPr>
                <w:sz w:val="20"/>
              </w:rPr>
            </w:pPr>
            <w:r>
              <w:rPr>
                <w:sz w:val="20"/>
              </w:rPr>
              <w:t>60-64</w:t>
            </w:r>
          </w:p>
        </w:tc>
        <w:tc>
          <w:tcPr>
            <w:tcW w:w="1414" w:type="dxa"/>
            <w:vMerge w:val="restart"/>
          </w:tcPr>
          <w:p w14:paraId="1A21DF25" w14:textId="77777777" w:rsidR="008E059F" w:rsidRDefault="008E059F">
            <w:pPr>
              <w:pStyle w:val="TableParagraph"/>
              <w:spacing w:before="0"/>
              <w:ind w:left="0"/>
            </w:pPr>
          </w:p>
          <w:p w14:paraId="207A3D33" w14:textId="77777777" w:rsidR="008E059F" w:rsidRDefault="008E059F">
            <w:pPr>
              <w:pStyle w:val="TableParagraph"/>
              <w:spacing w:before="0"/>
              <w:ind w:left="0"/>
            </w:pPr>
          </w:p>
          <w:p w14:paraId="0C8A8E32" w14:textId="77777777" w:rsidR="008E059F" w:rsidRDefault="008E059F">
            <w:pPr>
              <w:pStyle w:val="TableParagraph"/>
              <w:spacing w:before="0"/>
              <w:ind w:left="0"/>
            </w:pPr>
          </w:p>
          <w:p w14:paraId="3A7DBE46" w14:textId="77777777" w:rsidR="008E059F" w:rsidRDefault="008E059F">
            <w:pPr>
              <w:pStyle w:val="TableParagraph"/>
              <w:spacing w:before="0"/>
              <w:ind w:left="0"/>
              <w:rPr>
                <w:sz w:val="21"/>
              </w:rPr>
            </w:pPr>
          </w:p>
          <w:p w14:paraId="04F9606B" w14:textId="77777777" w:rsidR="008E059F" w:rsidRDefault="00EA339B">
            <w:pPr>
              <w:pStyle w:val="TableParagraph"/>
              <w:spacing w:before="0"/>
              <w:ind w:left="75"/>
              <w:rPr>
                <w:sz w:val="20"/>
              </w:rPr>
            </w:pPr>
            <w:r>
              <w:rPr>
                <w:sz w:val="20"/>
              </w:rPr>
              <w:t>Başarısız</w:t>
            </w:r>
          </w:p>
        </w:tc>
      </w:tr>
      <w:tr w:rsidR="008E059F" w14:paraId="05319B3D" w14:textId="77777777">
        <w:trPr>
          <w:trHeight w:val="590"/>
        </w:trPr>
        <w:tc>
          <w:tcPr>
            <w:tcW w:w="1903" w:type="dxa"/>
            <w:vMerge/>
            <w:tcBorders>
              <w:top w:val="nil"/>
            </w:tcBorders>
          </w:tcPr>
          <w:p w14:paraId="5E831875" w14:textId="77777777" w:rsidR="008E059F" w:rsidRDefault="008E059F">
            <w:pPr>
              <w:rPr>
                <w:sz w:val="2"/>
                <w:szCs w:val="2"/>
              </w:rPr>
            </w:pPr>
          </w:p>
        </w:tc>
        <w:tc>
          <w:tcPr>
            <w:tcW w:w="954" w:type="dxa"/>
            <w:vMerge/>
            <w:tcBorders>
              <w:top w:val="nil"/>
            </w:tcBorders>
          </w:tcPr>
          <w:p w14:paraId="664E1E89" w14:textId="77777777" w:rsidR="008E059F" w:rsidRDefault="008E059F">
            <w:pPr>
              <w:rPr>
                <w:sz w:val="2"/>
                <w:szCs w:val="2"/>
              </w:rPr>
            </w:pPr>
          </w:p>
        </w:tc>
        <w:tc>
          <w:tcPr>
            <w:tcW w:w="1982" w:type="dxa"/>
          </w:tcPr>
          <w:p w14:paraId="5DF66C66" w14:textId="77777777" w:rsidR="008E059F" w:rsidRDefault="00EA339B">
            <w:pPr>
              <w:pStyle w:val="TableParagraph"/>
              <w:ind w:left="68"/>
              <w:rPr>
                <w:sz w:val="20"/>
              </w:rPr>
            </w:pPr>
            <w:r>
              <w:rPr>
                <w:sz w:val="20"/>
              </w:rPr>
              <w:t>DD</w:t>
            </w:r>
          </w:p>
        </w:tc>
        <w:tc>
          <w:tcPr>
            <w:tcW w:w="997" w:type="dxa"/>
          </w:tcPr>
          <w:p w14:paraId="51A95DD8" w14:textId="77777777" w:rsidR="008E059F" w:rsidRDefault="00EA339B">
            <w:pPr>
              <w:pStyle w:val="TableParagraph"/>
              <w:rPr>
                <w:sz w:val="20"/>
              </w:rPr>
            </w:pPr>
            <w:r>
              <w:rPr>
                <w:w w:val="99"/>
                <w:sz w:val="20"/>
              </w:rPr>
              <w:t>2</w:t>
            </w:r>
          </w:p>
        </w:tc>
        <w:tc>
          <w:tcPr>
            <w:tcW w:w="1232" w:type="dxa"/>
          </w:tcPr>
          <w:p w14:paraId="69820AAC" w14:textId="77777777" w:rsidR="008E059F" w:rsidRDefault="00EA339B">
            <w:pPr>
              <w:pStyle w:val="TableParagraph"/>
              <w:ind w:left="66"/>
              <w:rPr>
                <w:sz w:val="20"/>
              </w:rPr>
            </w:pPr>
            <w:r>
              <w:rPr>
                <w:sz w:val="20"/>
              </w:rPr>
              <w:t>50-59</w:t>
            </w:r>
          </w:p>
        </w:tc>
        <w:tc>
          <w:tcPr>
            <w:tcW w:w="1414" w:type="dxa"/>
            <w:vMerge/>
            <w:tcBorders>
              <w:top w:val="nil"/>
            </w:tcBorders>
          </w:tcPr>
          <w:p w14:paraId="3CE05535" w14:textId="77777777" w:rsidR="008E059F" w:rsidRDefault="008E059F">
            <w:pPr>
              <w:rPr>
                <w:sz w:val="2"/>
                <w:szCs w:val="2"/>
              </w:rPr>
            </w:pPr>
          </w:p>
        </w:tc>
      </w:tr>
      <w:tr w:rsidR="008E059F" w14:paraId="0066E56E" w14:textId="77777777">
        <w:trPr>
          <w:trHeight w:val="590"/>
        </w:trPr>
        <w:tc>
          <w:tcPr>
            <w:tcW w:w="1903" w:type="dxa"/>
            <w:vMerge w:val="restart"/>
          </w:tcPr>
          <w:p w14:paraId="5B1D237D" w14:textId="77777777" w:rsidR="008E059F" w:rsidRDefault="008E059F">
            <w:pPr>
              <w:pStyle w:val="TableParagraph"/>
              <w:spacing w:before="0"/>
              <w:ind w:left="0"/>
            </w:pPr>
          </w:p>
          <w:p w14:paraId="07E75252" w14:textId="77777777" w:rsidR="008E059F" w:rsidRDefault="00EA339B">
            <w:pPr>
              <w:pStyle w:val="TableParagraph"/>
              <w:spacing w:before="162"/>
              <w:ind w:left="69"/>
              <w:rPr>
                <w:sz w:val="20"/>
              </w:rPr>
            </w:pPr>
            <w:r>
              <w:rPr>
                <w:sz w:val="20"/>
              </w:rPr>
              <w:t>Başarısız</w:t>
            </w:r>
          </w:p>
        </w:tc>
        <w:tc>
          <w:tcPr>
            <w:tcW w:w="954" w:type="dxa"/>
            <w:vMerge w:val="restart"/>
          </w:tcPr>
          <w:p w14:paraId="504DDA72" w14:textId="77777777" w:rsidR="008E059F" w:rsidRDefault="008E059F">
            <w:pPr>
              <w:pStyle w:val="TableParagraph"/>
              <w:spacing w:before="0"/>
              <w:ind w:left="0"/>
            </w:pPr>
          </w:p>
          <w:p w14:paraId="55C22C44" w14:textId="77777777" w:rsidR="008E059F" w:rsidRDefault="00EA339B">
            <w:pPr>
              <w:pStyle w:val="TableParagraph"/>
              <w:spacing w:before="162"/>
              <w:rPr>
                <w:sz w:val="20"/>
              </w:rPr>
            </w:pPr>
            <w:r>
              <w:rPr>
                <w:w w:val="99"/>
                <w:sz w:val="20"/>
              </w:rPr>
              <w:t>F</w:t>
            </w:r>
          </w:p>
        </w:tc>
        <w:tc>
          <w:tcPr>
            <w:tcW w:w="1982" w:type="dxa"/>
          </w:tcPr>
          <w:p w14:paraId="15291947" w14:textId="77777777" w:rsidR="008E059F" w:rsidRDefault="00EA339B">
            <w:pPr>
              <w:pStyle w:val="TableParagraph"/>
              <w:spacing w:before="120"/>
              <w:ind w:left="68"/>
              <w:rPr>
                <w:sz w:val="20"/>
              </w:rPr>
            </w:pPr>
            <w:r>
              <w:rPr>
                <w:sz w:val="20"/>
              </w:rPr>
              <w:t>FD</w:t>
            </w:r>
          </w:p>
        </w:tc>
        <w:tc>
          <w:tcPr>
            <w:tcW w:w="997" w:type="dxa"/>
          </w:tcPr>
          <w:p w14:paraId="64BB73D6" w14:textId="77777777" w:rsidR="008E059F" w:rsidRDefault="00EA339B">
            <w:pPr>
              <w:pStyle w:val="TableParagraph"/>
              <w:spacing w:before="120"/>
              <w:rPr>
                <w:sz w:val="20"/>
              </w:rPr>
            </w:pPr>
            <w:r>
              <w:rPr>
                <w:w w:val="99"/>
                <w:sz w:val="20"/>
              </w:rPr>
              <w:t>1</w:t>
            </w:r>
          </w:p>
        </w:tc>
        <w:tc>
          <w:tcPr>
            <w:tcW w:w="1232" w:type="dxa"/>
          </w:tcPr>
          <w:p w14:paraId="0657B7AE" w14:textId="77777777" w:rsidR="008E059F" w:rsidRDefault="00EA339B">
            <w:pPr>
              <w:pStyle w:val="TableParagraph"/>
              <w:spacing w:before="120"/>
              <w:ind w:left="66"/>
              <w:rPr>
                <w:sz w:val="20"/>
              </w:rPr>
            </w:pPr>
            <w:r>
              <w:rPr>
                <w:sz w:val="20"/>
              </w:rPr>
              <w:t>30-49</w:t>
            </w:r>
          </w:p>
        </w:tc>
        <w:tc>
          <w:tcPr>
            <w:tcW w:w="1414" w:type="dxa"/>
            <w:vMerge/>
            <w:tcBorders>
              <w:top w:val="nil"/>
            </w:tcBorders>
          </w:tcPr>
          <w:p w14:paraId="6E2E4701" w14:textId="77777777" w:rsidR="008E059F" w:rsidRDefault="008E059F">
            <w:pPr>
              <w:rPr>
                <w:sz w:val="2"/>
                <w:szCs w:val="2"/>
              </w:rPr>
            </w:pPr>
          </w:p>
        </w:tc>
      </w:tr>
      <w:tr w:rsidR="008E059F" w14:paraId="646BD177" w14:textId="77777777">
        <w:trPr>
          <w:trHeight w:val="590"/>
        </w:trPr>
        <w:tc>
          <w:tcPr>
            <w:tcW w:w="1903" w:type="dxa"/>
            <w:vMerge/>
            <w:tcBorders>
              <w:top w:val="nil"/>
            </w:tcBorders>
          </w:tcPr>
          <w:p w14:paraId="067C6E61" w14:textId="77777777" w:rsidR="008E059F" w:rsidRDefault="008E059F">
            <w:pPr>
              <w:rPr>
                <w:sz w:val="2"/>
                <w:szCs w:val="2"/>
              </w:rPr>
            </w:pPr>
          </w:p>
        </w:tc>
        <w:tc>
          <w:tcPr>
            <w:tcW w:w="954" w:type="dxa"/>
            <w:vMerge/>
            <w:tcBorders>
              <w:top w:val="nil"/>
            </w:tcBorders>
          </w:tcPr>
          <w:p w14:paraId="6EA3224E" w14:textId="77777777" w:rsidR="008E059F" w:rsidRDefault="008E059F">
            <w:pPr>
              <w:rPr>
                <w:sz w:val="2"/>
                <w:szCs w:val="2"/>
              </w:rPr>
            </w:pPr>
          </w:p>
        </w:tc>
        <w:tc>
          <w:tcPr>
            <w:tcW w:w="1982" w:type="dxa"/>
          </w:tcPr>
          <w:p w14:paraId="0367F2DA" w14:textId="77777777" w:rsidR="008E059F" w:rsidRDefault="00EA339B">
            <w:pPr>
              <w:pStyle w:val="TableParagraph"/>
              <w:ind w:left="68"/>
              <w:rPr>
                <w:sz w:val="20"/>
              </w:rPr>
            </w:pPr>
            <w:r>
              <w:rPr>
                <w:sz w:val="20"/>
              </w:rPr>
              <w:t>FF</w:t>
            </w:r>
          </w:p>
        </w:tc>
        <w:tc>
          <w:tcPr>
            <w:tcW w:w="997" w:type="dxa"/>
          </w:tcPr>
          <w:p w14:paraId="45DC40BB" w14:textId="77777777" w:rsidR="008E059F" w:rsidRDefault="00EA339B">
            <w:pPr>
              <w:pStyle w:val="TableParagraph"/>
              <w:rPr>
                <w:sz w:val="20"/>
              </w:rPr>
            </w:pPr>
            <w:r>
              <w:rPr>
                <w:w w:val="99"/>
                <w:sz w:val="20"/>
              </w:rPr>
              <w:t>0</w:t>
            </w:r>
          </w:p>
        </w:tc>
        <w:tc>
          <w:tcPr>
            <w:tcW w:w="1232" w:type="dxa"/>
          </w:tcPr>
          <w:p w14:paraId="2DAC0DDE" w14:textId="77777777" w:rsidR="008E059F" w:rsidRDefault="00EA339B">
            <w:pPr>
              <w:pStyle w:val="TableParagraph"/>
              <w:ind w:left="66"/>
              <w:rPr>
                <w:sz w:val="20"/>
              </w:rPr>
            </w:pPr>
            <w:r>
              <w:rPr>
                <w:sz w:val="20"/>
              </w:rPr>
              <w:t>0-29</w:t>
            </w:r>
          </w:p>
        </w:tc>
        <w:tc>
          <w:tcPr>
            <w:tcW w:w="1414" w:type="dxa"/>
            <w:vMerge/>
            <w:tcBorders>
              <w:top w:val="nil"/>
            </w:tcBorders>
          </w:tcPr>
          <w:p w14:paraId="3C9CBF83" w14:textId="77777777" w:rsidR="008E059F" w:rsidRDefault="008E059F">
            <w:pPr>
              <w:rPr>
                <w:sz w:val="2"/>
                <w:szCs w:val="2"/>
              </w:rPr>
            </w:pPr>
          </w:p>
        </w:tc>
      </w:tr>
    </w:tbl>
    <w:p w14:paraId="174FAA02" w14:textId="77777777" w:rsidR="008E059F" w:rsidRDefault="008E059F">
      <w:pPr>
        <w:rPr>
          <w:sz w:val="2"/>
          <w:szCs w:val="2"/>
        </w:rPr>
        <w:sectPr w:rsidR="008E059F">
          <w:pgSz w:w="11910" w:h="16840"/>
          <w:pgMar w:top="1320" w:right="860" w:bottom="280" w:left="1200" w:header="749" w:footer="0" w:gutter="0"/>
          <w:cols w:space="708"/>
        </w:sectPr>
      </w:pPr>
    </w:p>
    <w:p w14:paraId="6639D827" w14:textId="77777777" w:rsidR="008E059F" w:rsidRDefault="008E059F">
      <w:pPr>
        <w:pStyle w:val="GvdeMetni"/>
      </w:pPr>
    </w:p>
    <w:p w14:paraId="542650AB" w14:textId="77777777" w:rsidR="008E059F" w:rsidRDefault="008E059F">
      <w:pPr>
        <w:pStyle w:val="GvdeMetni"/>
      </w:pPr>
    </w:p>
    <w:p w14:paraId="5CF19DAA" w14:textId="77777777" w:rsidR="008E059F" w:rsidRDefault="008E059F">
      <w:pPr>
        <w:pStyle w:val="GvdeMetni"/>
      </w:pPr>
    </w:p>
    <w:p w14:paraId="3C3A7207" w14:textId="77777777" w:rsidR="008E059F" w:rsidRDefault="008E059F">
      <w:pPr>
        <w:pStyle w:val="GvdeMetni"/>
        <w:spacing w:before="7"/>
        <w:rPr>
          <w:sz w:val="29"/>
        </w:rPr>
      </w:pPr>
    </w:p>
    <w:p w14:paraId="29354645" w14:textId="77777777" w:rsidR="008E059F" w:rsidRDefault="00EA339B">
      <w:pPr>
        <w:pStyle w:val="GvdeMetni"/>
        <w:spacing w:before="100"/>
        <w:ind w:left="266"/>
      </w:pPr>
      <w:r>
        <w:t>DOKTORA ÖĞRENCİLERİ İÇİN NOT DÖNÜŞTÜRME TABLOSU</w:t>
      </w:r>
    </w:p>
    <w:p w14:paraId="7BD582BB" w14:textId="77777777" w:rsidR="008E059F" w:rsidRDefault="008E059F">
      <w:pPr>
        <w:pStyle w:val="GvdeMetni"/>
        <w:spacing w:before="11"/>
        <w:rPr>
          <w:sz w:val="19"/>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953"/>
        <w:gridCol w:w="1982"/>
        <w:gridCol w:w="994"/>
        <w:gridCol w:w="1235"/>
        <w:gridCol w:w="1413"/>
      </w:tblGrid>
      <w:tr w:rsidR="008E059F" w14:paraId="5DFAE324" w14:textId="77777777">
        <w:trPr>
          <w:trHeight w:val="861"/>
        </w:trPr>
        <w:tc>
          <w:tcPr>
            <w:tcW w:w="2856" w:type="dxa"/>
            <w:gridSpan w:val="2"/>
          </w:tcPr>
          <w:p w14:paraId="49052C94" w14:textId="77777777" w:rsidR="008E059F" w:rsidRDefault="00EA339B">
            <w:pPr>
              <w:pStyle w:val="TableParagraph"/>
              <w:spacing w:before="121" w:line="276" w:lineRule="auto"/>
              <w:ind w:left="69" w:right="69"/>
              <w:rPr>
                <w:b/>
                <w:i/>
                <w:sz w:val="20"/>
              </w:rPr>
            </w:pPr>
            <w:r>
              <w:rPr>
                <w:b/>
                <w:i/>
                <w:sz w:val="20"/>
              </w:rPr>
              <w:t>AB ÜYESİ ÜLKEDE ALINAN NOT</w:t>
            </w:r>
          </w:p>
        </w:tc>
        <w:tc>
          <w:tcPr>
            <w:tcW w:w="5624" w:type="dxa"/>
            <w:gridSpan w:val="4"/>
          </w:tcPr>
          <w:p w14:paraId="668C124A" w14:textId="77777777" w:rsidR="008E059F" w:rsidRDefault="008E059F">
            <w:pPr>
              <w:pStyle w:val="TableParagraph"/>
              <w:spacing w:before="0"/>
              <w:ind w:left="0"/>
            </w:pPr>
          </w:p>
          <w:p w14:paraId="26A689A2" w14:textId="2FEC4CAF" w:rsidR="008E059F" w:rsidRDefault="005546AB">
            <w:pPr>
              <w:pStyle w:val="TableParagraph"/>
              <w:spacing w:before="132"/>
              <w:ind w:left="69"/>
              <w:rPr>
                <w:b/>
                <w:i/>
                <w:sz w:val="20"/>
              </w:rPr>
            </w:pPr>
            <w:r>
              <w:rPr>
                <w:b/>
                <w:i/>
                <w:sz w:val="20"/>
              </w:rPr>
              <w:t xml:space="preserve">TEKİRDAĞ </w:t>
            </w:r>
            <w:r w:rsidR="00EA339B">
              <w:rPr>
                <w:b/>
                <w:i/>
                <w:sz w:val="20"/>
              </w:rPr>
              <w:t>NAMIK KEMAL ÜNİVERSİTESİ NOT SİSTEMİ</w:t>
            </w:r>
          </w:p>
        </w:tc>
      </w:tr>
      <w:tr w:rsidR="008E059F" w14:paraId="4E402C17" w14:textId="77777777">
        <w:trPr>
          <w:trHeight w:val="858"/>
        </w:trPr>
        <w:tc>
          <w:tcPr>
            <w:tcW w:w="1903" w:type="dxa"/>
            <w:tcBorders>
              <w:bottom w:val="double" w:sz="1" w:space="0" w:color="000000"/>
            </w:tcBorders>
          </w:tcPr>
          <w:p w14:paraId="7CE8CD5E" w14:textId="77777777" w:rsidR="008E059F" w:rsidRDefault="00EA339B">
            <w:pPr>
              <w:pStyle w:val="TableParagraph"/>
              <w:tabs>
                <w:tab w:val="left" w:pos="1289"/>
              </w:tabs>
              <w:spacing w:line="276" w:lineRule="auto"/>
              <w:ind w:left="69" w:right="61"/>
              <w:rPr>
                <w:i/>
                <w:sz w:val="20"/>
              </w:rPr>
            </w:pPr>
            <w:r>
              <w:rPr>
                <w:i/>
                <w:sz w:val="20"/>
              </w:rPr>
              <w:t>İstatistiki</w:t>
            </w:r>
            <w:r>
              <w:rPr>
                <w:i/>
                <w:sz w:val="20"/>
              </w:rPr>
              <w:tab/>
            </w:r>
            <w:r>
              <w:rPr>
                <w:i/>
                <w:spacing w:val="-4"/>
                <w:sz w:val="20"/>
              </w:rPr>
              <w:t xml:space="preserve">Başarı </w:t>
            </w:r>
            <w:r>
              <w:rPr>
                <w:i/>
                <w:sz w:val="20"/>
              </w:rPr>
              <w:t>Durumu</w:t>
            </w:r>
          </w:p>
        </w:tc>
        <w:tc>
          <w:tcPr>
            <w:tcW w:w="953" w:type="dxa"/>
            <w:tcBorders>
              <w:bottom w:val="double" w:sz="1" w:space="0" w:color="000000"/>
            </w:tcBorders>
          </w:tcPr>
          <w:p w14:paraId="0A1B8191" w14:textId="77777777" w:rsidR="008E059F" w:rsidRDefault="00EA339B">
            <w:pPr>
              <w:pStyle w:val="TableParagraph"/>
              <w:rPr>
                <w:i/>
                <w:sz w:val="20"/>
              </w:rPr>
            </w:pPr>
            <w:r>
              <w:rPr>
                <w:i/>
                <w:sz w:val="20"/>
              </w:rPr>
              <w:t>ECTS</w:t>
            </w:r>
          </w:p>
          <w:p w14:paraId="5C46593D" w14:textId="77777777" w:rsidR="008E059F" w:rsidRDefault="00EA339B">
            <w:pPr>
              <w:pStyle w:val="TableParagraph"/>
              <w:spacing w:before="34"/>
              <w:rPr>
                <w:i/>
                <w:sz w:val="20"/>
              </w:rPr>
            </w:pPr>
            <w:r>
              <w:rPr>
                <w:i/>
                <w:sz w:val="20"/>
              </w:rPr>
              <w:t>Notu</w:t>
            </w:r>
          </w:p>
        </w:tc>
        <w:tc>
          <w:tcPr>
            <w:tcW w:w="1982" w:type="dxa"/>
            <w:tcBorders>
              <w:bottom w:val="double" w:sz="1" w:space="0" w:color="000000"/>
            </w:tcBorders>
          </w:tcPr>
          <w:p w14:paraId="11DA5088" w14:textId="77777777" w:rsidR="008E059F" w:rsidRDefault="00EA339B">
            <w:pPr>
              <w:pStyle w:val="TableParagraph"/>
              <w:tabs>
                <w:tab w:val="left" w:pos="1271"/>
              </w:tabs>
              <w:spacing w:line="276" w:lineRule="auto"/>
              <w:ind w:left="69" w:right="58"/>
              <w:rPr>
                <w:i/>
                <w:sz w:val="20"/>
              </w:rPr>
            </w:pPr>
            <w:r>
              <w:rPr>
                <w:i/>
                <w:sz w:val="20"/>
              </w:rPr>
              <w:t>NKÜ'deki</w:t>
            </w:r>
            <w:r>
              <w:rPr>
                <w:i/>
                <w:sz w:val="20"/>
              </w:rPr>
              <w:tab/>
            </w:r>
            <w:r>
              <w:rPr>
                <w:i/>
                <w:spacing w:val="-4"/>
                <w:sz w:val="20"/>
              </w:rPr>
              <w:t xml:space="preserve">eşdeğer </w:t>
            </w:r>
            <w:r>
              <w:rPr>
                <w:i/>
                <w:sz w:val="20"/>
              </w:rPr>
              <w:t>sistem</w:t>
            </w:r>
          </w:p>
        </w:tc>
        <w:tc>
          <w:tcPr>
            <w:tcW w:w="994" w:type="dxa"/>
            <w:tcBorders>
              <w:bottom w:val="double" w:sz="1" w:space="0" w:color="000000"/>
            </w:tcBorders>
          </w:tcPr>
          <w:p w14:paraId="7F501CF0" w14:textId="77777777" w:rsidR="008E059F" w:rsidRDefault="00EA339B">
            <w:pPr>
              <w:pStyle w:val="TableParagraph"/>
              <w:spacing w:line="276" w:lineRule="auto"/>
              <w:ind w:left="72" w:right="18"/>
              <w:rPr>
                <w:i/>
                <w:sz w:val="20"/>
              </w:rPr>
            </w:pPr>
            <w:r>
              <w:rPr>
                <w:i/>
                <w:sz w:val="20"/>
              </w:rPr>
              <w:t xml:space="preserve">4'lük </w:t>
            </w:r>
            <w:r>
              <w:rPr>
                <w:i/>
                <w:w w:val="95"/>
                <w:sz w:val="20"/>
              </w:rPr>
              <w:t>sistem</w:t>
            </w:r>
          </w:p>
        </w:tc>
        <w:tc>
          <w:tcPr>
            <w:tcW w:w="1235" w:type="dxa"/>
            <w:tcBorders>
              <w:bottom w:val="double" w:sz="1" w:space="0" w:color="000000"/>
            </w:tcBorders>
          </w:tcPr>
          <w:p w14:paraId="3F73117B" w14:textId="77777777" w:rsidR="008E059F" w:rsidRDefault="00EA339B">
            <w:pPr>
              <w:pStyle w:val="TableParagraph"/>
              <w:spacing w:line="276" w:lineRule="auto"/>
              <w:ind w:left="70" w:right="55"/>
              <w:rPr>
                <w:i/>
                <w:sz w:val="20"/>
              </w:rPr>
            </w:pPr>
            <w:r>
              <w:rPr>
                <w:i/>
                <w:w w:val="95"/>
                <w:sz w:val="20"/>
              </w:rPr>
              <w:t xml:space="preserve">100'lük </w:t>
            </w:r>
            <w:r>
              <w:rPr>
                <w:i/>
                <w:sz w:val="20"/>
              </w:rPr>
              <w:t>sistem</w:t>
            </w:r>
          </w:p>
        </w:tc>
        <w:tc>
          <w:tcPr>
            <w:tcW w:w="1413" w:type="dxa"/>
            <w:tcBorders>
              <w:bottom w:val="double" w:sz="1" w:space="0" w:color="000000"/>
            </w:tcBorders>
          </w:tcPr>
          <w:p w14:paraId="3C7283E9" w14:textId="77777777" w:rsidR="008E059F" w:rsidRDefault="008E059F">
            <w:pPr>
              <w:pStyle w:val="TableParagraph"/>
              <w:spacing w:before="7"/>
              <w:ind w:left="0"/>
              <w:rPr>
                <w:sz w:val="21"/>
              </w:rPr>
            </w:pPr>
          </w:p>
          <w:p w14:paraId="103B4E86" w14:textId="77777777" w:rsidR="008E059F" w:rsidRDefault="00EA339B">
            <w:pPr>
              <w:pStyle w:val="TableParagraph"/>
              <w:spacing w:before="0"/>
              <w:ind w:left="76"/>
              <w:rPr>
                <w:i/>
                <w:sz w:val="20"/>
              </w:rPr>
            </w:pPr>
            <w:r>
              <w:rPr>
                <w:i/>
                <w:sz w:val="20"/>
              </w:rPr>
              <w:t>Tanımlama</w:t>
            </w:r>
          </w:p>
        </w:tc>
      </w:tr>
      <w:tr w:rsidR="008E059F" w14:paraId="13E4A263" w14:textId="77777777">
        <w:trPr>
          <w:trHeight w:val="589"/>
        </w:trPr>
        <w:tc>
          <w:tcPr>
            <w:tcW w:w="1903" w:type="dxa"/>
            <w:tcBorders>
              <w:top w:val="double" w:sz="1" w:space="0" w:color="000000"/>
            </w:tcBorders>
          </w:tcPr>
          <w:p w14:paraId="0EE85E27" w14:textId="77777777" w:rsidR="008E059F" w:rsidRDefault="00EA339B">
            <w:pPr>
              <w:pStyle w:val="TableParagraph"/>
              <w:ind w:left="69"/>
              <w:rPr>
                <w:sz w:val="20"/>
              </w:rPr>
            </w:pPr>
            <w:r>
              <w:rPr>
                <w:sz w:val="20"/>
              </w:rPr>
              <w:t>İlk 10%</w:t>
            </w:r>
          </w:p>
        </w:tc>
        <w:tc>
          <w:tcPr>
            <w:tcW w:w="953" w:type="dxa"/>
            <w:tcBorders>
              <w:top w:val="double" w:sz="1" w:space="0" w:color="000000"/>
            </w:tcBorders>
          </w:tcPr>
          <w:p w14:paraId="0370B1F3" w14:textId="77777777" w:rsidR="008E059F" w:rsidRDefault="00EA339B">
            <w:pPr>
              <w:pStyle w:val="TableParagraph"/>
              <w:rPr>
                <w:sz w:val="20"/>
              </w:rPr>
            </w:pPr>
            <w:r>
              <w:rPr>
                <w:w w:val="99"/>
                <w:sz w:val="20"/>
              </w:rPr>
              <w:t>A</w:t>
            </w:r>
          </w:p>
        </w:tc>
        <w:tc>
          <w:tcPr>
            <w:tcW w:w="1982" w:type="dxa"/>
            <w:tcBorders>
              <w:top w:val="double" w:sz="1" w:space="0" w:color="000000"/>
            </w:tcBorders>
          </w:tcPr>
          <w:p w14:paraId="15675819" w14:textId="77777777" w:rsidR="008E059F" w:rsidRDefault="00EA339B">
            <w:pPr>
              <w:pStyle w:val="TableParagraph"/>
              <w:ind w:left="69"/>
              <w:rPr>
                <w:sz w:val="20"/>
              </w:rPr>
            </w:pPr>
            <w:r>
              <w:rPr>
                <w:sz w:val="20"/>
              </w:rPr>
              <w:t>AA</w:t>
            </w:r>
          </w:p>
        </w:tc>
        <w:tc>
          <w:tcPr>
            <w:tcW w:w="994" w:type="dxa"/>
            <w:tcBorders>
              <w:top w:val="double" w:sz="1" w:space="0" w:color="000000"/>
            </w:tcBorders>
          </w:tcPr>
          <w:p w14:paraId="38AB7FFD" w14:textId="77777777" w:rsidR="008E059F" w:rsidRDefault="00EA339B">
            <w:pPr>
              <w:pStyle w:val="TableParagraph"/>
              <w:ind w:left="72"/>
              <w:rPr>
                <w:sz w:val="20"/>
              </w:rPr>
            </w:pPr>
            <w:r>
              <w:rPr>
                <w:w w:val="99"/>
                <w:sz w:val="20"/>
              </w:rPr>
              <w:t>4</w:t>
            </w:r>
          </w:p>
        </w:tc>
        <w:tc>
          <w:tcPr>
            <w:tcW w:w="1235" w:type="dxa"/>
            <w:tcBorders>
              <w:top w:val="double" w:sz="1" w:space="0" w:color="000000"/>
            </w:tcBorders>
          </w:tcPr>
          <w:p w14:paraId="2659DCA3" w14:textId="77777777" w:rsidR="008E059F" w:rsidRDefault="00EA339B">
            <w:pPr>
              <w:pStyle w:val="TableParagraph"/>
              <w:ind w:left="70"/>
              <w:rPr>
                <w:sz w:val="20"/>
              </w:rPr>
            </w:pPr>
            <w:r>
              <w:rPr>
                <w:sz w:val="20"/>
              </w:rPr>
              <w:t>95-100</w:t>
            </w:r>
          </w:p>
        </w:tc>
        <w:tc>
          <w:tcPr>
            <w:tcW w:w="1413" w:type="dxa"/>
            <w:tcBorders>
              <w:top w:val="double" w:sz="1" w:space="0" w:color="000000"/>
            </w:tcBorders>
          </w:tcPr>
          <w:p w14:paraId="607216E1" w14:textId="77777777" w:rsidR="008E059F" w:rsidRDefault="00EA339B">
            <w:pPr>
              <w:pStyle w:val="TableParagraph"/>
              <w:ind w:left="76"/>
              <w:rPr>
                <w:sz w:val="20"/>
              </w:rPr>
            </w:pPr>
            <w:r>
              <w:rPr>
                <w:sz w:val="20"/>
              </w:rPr>
              <w:t>Mükemmel</w:t>
            </w:r>
          </w:p>
        </w:tc>
      </w:tr>
      <w:tr w:rsidR="008E059F" w14:paraId="1A600C1E" w14:textId="77777777">
        <w:trPr>
          <w:trHeight w:val="590"/>
        </w:trPr>
        <w:tc>
          <w:tcPr>
            <w:tcW w:w="1903" w:type="dxa"/>
          </w:tcPr>
          <w:p w14:paraId="453671FA" w14:textId="77777777" w:rsidR="008E059F" w:rsidRDefault="00EA339B">
            <w:pPr>
              <w:pStyle w:val="TableParagraph"/>
              <w:ind w:left="69"/>
              <w:rPr>
                <w:sz w:val="20"/>
              </w:rPr>
            </w:pPr>
            <w:r>
              <w:rPr>
                <w:sz w:val="20"/>
              </w:rPr>
              <w:t>Sonraki 25%</w:t>
            </w:r>
          </w:p>
        </w:tc>
        <w:tc>
          <w:tcPr>
            <w:tcW w:w="953" w:type="dxa"/>
          </w:tcPr>
          <w:p w14:paraId="54BF5EA2" w14:textId="77777777" w:rsidR="008E059F" w:rsidRDefault="00EA339B">
            <w:pPr>
              <w:pStyle w:val="TableParagraph"/>
              <w:rPr>
                <w:sz w:val="20"/>
              </w:rPr>
            </w:pPr>
            <w:r>
              <w:rPr>
                <w:w w:val="99"/>
                <w:sz w:val="20"/>
              </w:rPr>
              <w:t>B</w:t>
            </w:r>
          </w:p>
        </w:tc>
        <w:tc>
          <w:tcPr>
            <w:tcW w:w="1982" w:type="dxa"/>
          </w:tcPr>
          <w:p w14:paraId="4C9E4C62" w14:textId="77777777" w:rsidR="008E059F" w:rsidRDefault="00EA339B">
            <w:pPr>
              <w:pStyle w:val="TableParagraph"/>
              <w:ind w:left="69"/>
              <w:rPr>
                <w:sz w:val="20"/>
              </w:rPr>
            </w:pPr>
            <w:r>
              <w:rPr>
                <w:sz w:val="20"/>
              </w:rPr>
              <w:t>BA</w:t>
            </w:r>
          </w:p>
        </w:tc>
        <w:tc>
          <w:tcPr>
            <w:tcW w:w="994" w:type="dxa"/>
          </w:tcPr>
          <w:p w14:paraId="6FE53C24" w14:textId="77777777" w:rsidR="008E059F" w:rsidRDefault="00EA339B">
            <w:pPr>
              <w:pStyle w:val="TableParagraph"/>
              <w:ind w:left="72"/>
              <w:rPr>
                <w:sz w:val="20"/>
              </w:rPr>
            </w:pPr>
            <w:r>
              <w:rPr>
                <w:sz w:val="20"/>
              </w:rPr>
              <w:t>3,5</w:t>
            </w:r>
          </w:p>
        </w:tc>
        <w:tc>
          <w:tcPr>
            <w:tcW w:w="1235" w:type="dxa"/>
          </w:tcPr>
          <w:p w14:paraId="48412A89" w14:textId="77777777" w:rsidR="008E059F" w:rsidRDefault="00EA339B">
            <w:pPr>
              <w:pStyle w:val="TableParagraph"/>
              <w:ind w:left="70"/>
              <w:rPr>
                <w:sz w:val="20"/>
              </w:rPr>
            </w:pPr>
            <w:r>
              <w:rPr>
                <w:sz w:val="20"/>
              </w:rPr>
              <w:t>90-94</w:t>
            </w:r>
          </w:p>
        </w:tc>
        <w:tc>
          <w:tcPr>
            <w:tcW w:w="1413" w:type="dxa"/>
          </w:tcPr>
          <w:p w14:paraId="0709B48C" w14:textId="77777777" w:rsidR="008E059F" w:rsidRDefault="00EA339B">
            <w:pPr>
              <w:pStyle w:val="TableParagraph"/>
              <w:ind w:left="76"/>
              <w:rPr>
                <w:sz w:val="20"/>
              </w:rPr>
            </w:pPr>
            <w:r>
              <w:rPr>
                <w:sz w:val="20"/>
              </w:rPr>
              <w:t>Çok İyi</w:t>
            </w:r>
          </w:p>
        </w:tc>
      </w:tr>
      <w:tr w:rsidR="008E059F" w14:paraId="2E33AA5D" w14:textId="77777777">
        <w:trPr>
          <w:trHeight w:val="590"/>
        </w:trPr>
        <w:tc>
          <w:tcPr>
            <w:tcW w:w="1903" w:type="dxa"/>
          </w:tcPr>
          <w:p w14:paraId="71BDA9A5" w14:textId="77777777" w:rsidR="008E059F" w:rsidRDefault="00EA339B">
            <w:pPr>
              <w:pStyle w:val="TableParagraph"/>
              <w:ind w:left="69"/>
              <w:rPr>
                <w:sz w:val="20"/>
              </w:rPr>
            </w:pPr>
            <w:r>
              <w:rPr>
                <w:sz w:val="20"/>
              </w:rPr>
              <w:t>Sonraki 30%</w:t>
            </w:r>
          </w:p>
        </w:tc>
        <w:tc>
          <w:tcPr>
            <w:tcW w:w="953" w:type="dxa"/>
          </w:tcPr>
          <w:p w14:paraId="14221B7A" w14:textId="77777777" w:rsidR="008E059F" w:rsidRDefault="00EA339B">
            <w:pPr>
              <w:pStyle w:val="TableParagraph"/>
              <w:rPr>
                <w:sz w:val="20"/>
              </w:rPr>
            </w:pPr>
            <w:r>
              <w:rPr>
                <w:w w:val="99"/>
                <w:sz w:val="20"/>
              </w:rPr>
              <w:t>C</w:t>
            </w:r>
          </w:p>
        </w:tc>
        <w:tc>
          <w:tcPr>
            <w:tcW w:w="1982" w:type="dxa"/>
          </w:tcPr>
          <w:p w14:paraId="7B84C699" w14:textId="77777777" w:rsidR="008E059F" w:rsidRDefault="00EA339B">
            <w:pPr>
              <w:pStyle w:val="TableParagraph"/>
              <w:ind w:left="69"/>
              <w:rPr>
                <w:sz w:val="20"/>
              </w:rPr>
            </w:pPr>
            <w:r>
              <w:rPr>
                <w:sz w:val="20"/>
              </w:rPr>
              <w:t>BB</w:t>
            </w:r>
          </w:p>
        </w:tc>
        <w:tc>
          <w:tcPr>
            <w:tcW w:w="994" w:type="dxa"/>
          </w:tcPr>
          <w:p w14:paraId="2FC3CD06" w14:textId="77777777" w:rsidR="008E059F" w:rsidRDefault="00EA339B">
            <w:pPr>
              <w:pStyle w:val="TableParagraph"/>
              <w:ind w:left="72"/>
              <w:rPr>
                <w:sz w:val="20"/>
              </w:rPr>
            </w:pPr>
            <w:r>
              <w:rPr>
                <w:w w:val="99"/>
                <w:sz w:val="20"/>
              </w:rPr>
              <w:t>3</w:t>
            </w:r>
          </w:p>
        </w:tc>
        <w:tc>
          <w:tcPr>
            <w:tcW w:w="1235" w:type="dxa"/>
          </w:tcPr>
          <w:p w14:paraId="059D3953" w14:textId="77777777" w:rsidR="008E059F" w:rsidRDefault="00EA339B">
            <w:pPr>
              <w:pStyle w:val="TableParagraph"/>
              <w:ind w:left="70"/>
              <w:rPr>
                <w:sz w:val="20"/>
              </w:rPr>
            </w:pPr>
            <w:r>
              <w:rPr>
                <w:sz w:val="20"/>
              </w:rPr>
              <w:t>85-89</w:t>
            </w:r>
          </w:p>
        </w:tc>
        <w:tc>
          <w:tcPr>
            <w:tcW w:w="1413" w:type="dxa"/>
          </w:tcPr>
          <w:p w14:paraId="7BACC5F8" w14:textId="77777777" w:rsidR="008E059F" w:rsidRDefault="00EA339B">
            <w:pPr>
              <w:pStyle w:val="TableParagraph"/>
              <w:ind w:left="76"/>
              <w:rPr>
                <w:sz w:val="20"/>
              </w:rPr>
            </w:pPr>
            <w:r>
              <w:rPr>
                <w:sz w:val="20"/>
              </w:rPr>
              <w:t>İyi</w:t>
            </w:r>
          </w:p>
        </w:tc>
      </w:tr>
      <w:tr w:rsidR="008E059F" w14:paraId="24392D2E" w14:textId="77777777">
        <w:trPr>
          <w:trHeight w:val="590"/>
        </w:trPr>
        <w:tc>
          <w:tcPr>
            <w:tcW w:w="1903" w:type="dxa"/>
          </w:tcPr>
          <w:p w14:paraId="0F1B8196" w14:textId="77777777" w:rsidR="008E059F" w:rsidRDefault="00EA339B">
            <w:pPr>
              <w:pStyle w:val="TableParagraph"/>
              <w:ind w:left="69"/>
              <w:rPr>
                <w:sz w:val="20"/>
              </w:rPr>
            </w:pPr>
            <w:r>
              <w:rPr>
                <w:sz w:val="20"/>
              </w:rPr>
              <w:t>Sonraki 25%</w:t>
            </w:r>
          </w:p>
        </w:tc>
        <w:tc>
          <w:tcPr>
            <w:tcW w:w="953" w:type="dxa"/>
          </w:tcPr>
          <w:p w14:paraId="2D471C21" w14:textId="77777777" w:rsidR="008E059F" w:rsidRDefault="00EA339B">
            <w:pPr>
              <w:pStyle w:val="TableParagraph"/>
              <w:rPr>
                <w:sz w:val="20"/>
              </w:rPr>
            </w:pPr>
            <w:r>
              <w:rPr>
                <w:w w:val="99"/>
                <w:sz w:val="20"/>
              </w:rPr>
              <w:t>D</w:t>
            </w:r>
          </w:p>
        </w:tc>
        <w:tc>
          <w:tcPr>
            <w:tcW w:w="1982" w:type="dxa"/>
          </w:tcPr>
          <w:p w14:paraId="1C0EE027" w14:textId="77777777" w:rsidR="008E059F" w:rsidRDefault="00EA339B">
            <w:pPr>
              <w:pStyle w:val="TableParagraph"/>
              <w:ind w:left="69"/>
              <w:rPr>
                <w:sz w:val="20"/>
              </w:rPr>
            </w:pPr>
            <w:r>
              <w:rPr>
                <w:sz w:val="20"/>
              </w:rPr>
              <w:t>CB</w:t>
            </w:r>
          </w:p>
        </w:tc>
        <w:tc>
          <w:tcPr>
            <w:tcW w:w="994" w:type="dxa"/>
          </w:tcPr>
          <w:p w14:paraId="01B9FA8F" w14:textId="77777777" w:rsidR="008E059F" w:rsidRDefault="00EA339B">
            <w:pPr>
              <w:pStyle w:val="TableParagraph"/>
              <w:ind w:left="72"/>
              <w:rPr>
                <w:sz w:val="20"/>
              </w:rPr>
            </w:pPr>
            <w:r>
              <w:rPr>
                <w:sz w:val="20"/>
              </w:rPr>
              <w:t>2,5</w:t>
            </w:r>
          </w:p>
        </w:tc>
        <w:tc>
          <w:tcPr>
            <w:tcW w:w="1235" w:type="dxa"/>
          </w:tcPr>
          <w:p w14:paraId="56CDF0E0" w14:textId="77777777" w:rsidR="008E059F" w:rsidRDefault="00EA339B">
            <w:pPr>
              <w:pStyle w:val="TableParagraph"/>
              <w:ind w:left="70"/>
              <w:rPr>
                <w:sz w:val="20"/>
              </w:rPr>
            </w:pPr>
            <w:r>
              <w:rPr>
                <w:sz w:val="20"/>
              </w:rPr>
              <w:t>80-84</w:t>
            </w:r>
          </w:p>
        </w:tc>
        <w:tc>
          <w:tcPr>
            <w:tcW w:w="1413" w:type="dxa"/>
          </w:tcPr>
          <w:p w14:paraId="359EB2AB" w14:textId="77777777" w:rsidR="008E059F" w:rsidRDefault="00EA339B">
            <w:pPr>
              <w:pStyle w:val="TableParagraph"/>
              <w:ind w:left="76"/>
              <w:rPr>
                <w:sz w:val="20"/>
              </w:rPr>
            </w:pPr>
            <w:r>
              <w:rPr>
                <w:sz w:val="20"/>
              </w:rPr>
              <w:t>Başarılı</w:t>
            </w:r>
          </w:p>
        </w:tc>
      </w:tr>
      <w:tr w:rsidR="008E059F" w14:paraId="42CDF3E9" w14:textId="77777777">
        <w:trPr>
          <w:trHeight w:val="587"/>
        </w:trPr>
        <w:tc>
          <w:tcPr>
            <w:tcW w:w="1903" w:type="dxa"/>
          </w:tcPr>
          <w:p w14:paraId="4086F622" w14:textId="77777777" w:rsidR="008E059F" w:rsidRDefault="00EA339B">
            <w:pPr>
              <w:pStyle w:val="TableParagraph"/>
              <w:ind w:left="69"/>
              <w:rPr>
                <w:sz w:val="20"/>
              </w:rPr>
            </w:pPr>
            <w:r>
              <w:rPr>
                <w:sz w:val="20"/>
              </w:rPr>
              <w:t>Sonraki 10%</w:t>
            </w:r>
          </w:p>
        </w:tc>
        <w:tc>
          <w:tcPr>
            <w:tcW w:w="953" w:type="dxa"/>
          </w:tcPr>
          <w:p w14:paraId="149D4794" w14:textId="77777777" w:rsidR="008E059F" w:rsidRDefault="00EA339B">
            <w:pPr>
              <w:pStyle w:val="TableParagraph"/>
              <w:rPr>
                <w:sz w:val="20"/>
              </w:rPr>
            </w:pPr>
            <w:r>
              <w:rPr>
                <w:w w:val="99"/>
                <w:sz w:val="20"/>
              </w:rPr>
              <w:t>E</w:t>
            </w:r>
          </w:p>
        </w:tc>
        <w:tc>
          <w:tcPr>
            <w:tcW w:w="1982" w:type="dxa"/>
          </w:tcPr>
          <w:p w14:paraId="70CFA858" w14:textId="77777777" w:rsidR="008E059F" w:rsidRDefault="00EA339B">
            <w:pPr>
              <w:pStyle w:val="TableParagraph"/>
              <w:ind w:left="69"/>
              <w:rPr>
                <w:sz w:val="20"/>
              </w:rPr>
            </w:pPr>
            <w:r>
              <w:rPr>
                <w:sz w:val="20"/>
              </w:rPr>
              <w:t>CC</w:t>
            </w:r>
          </w:p>
        </w:tc>
        <w:tc>
          <w:tcPr>
            <w:tcW w:w="994" w:type="dxa"/>
          </w:tcPr>
          <w:p w14:paraId="697A1EEB" w14:textId="77777777" w:rsidR="008E059F" w:rsidRDefault="00EA339B">
            <w:pPr>
              <w:pStyle w:val="TableParagraph"/>
              <w:ind w:left="72"/>
              <w:rPr>
                <w:sz w:val="20"/>
              </w:rPr>
            </w:pPr>
            <w:r>
              <w:rPr>
                <w:sz w:val="20"/>
              </w:rPr>
              <w:t>2,25</w:t>
            </w:r>
          </w:p>
        </w:tc>
        <w:tc>
          <w:tcPr>
            <w:tcW w:w="1235" w:type="dxa"/>
          </w:tcPr>
          <w:p w14:paraId="0D010D64" w14:textId="77777777" w:rsidR="008E059F" w:rsidRDefault="00EA339B">
            <w:pPr>
              <w:pStyle w:val="TableParagraph"/>
              <w:ind w:left="70"/>
              <w:rPr>
                <w:sz w:val="20"/>
              </w:rPr>
            </w:pPr>
            <w:r>
              <w:rPr>
                <w:sz w:val="20"/>
              </w:rPr>
              <w:t>75-79</w:t>
            </w:r>
          </w:p>
        </w:tc>
        <w:tc>
          <w:tcPr>
            <w:tcW w:w="1413" w:type="dxa"/>
          </w:tcPr>
          <w:p w14:paraId="7C6B7E01" w14:textId="77777777" w:rsidR="008E059F" w:rsidRDefault="00EA339B">
            <w:pPr>
              <w:pStyle w:val="TableParagraph"/>
              <w:ind w:left="76"/>
              <w:rPr>
                <w:sz w:val="20"/>
              </w:rPr>
            </w:pPr>
            <w:r>
              <w:rPr>
                <w:sz w:val="20"/>
              </w:rPr>
              <w:t>Yeterli</w:t>
            </w:r>
          </w:p>
        </w:tc>
      </w:tr>
      <w:tr w:rsidR="008E059F" w14:paraId="0E0F5A34" w14:textId="77777777">
        <w:trPr>
          <w:trHeight w:val="590"/>
        </w:trPr>
        <w:tc>
          <w:tcPr>
            <w:tcW w:w="1903" w:type="dxa"/>
          </w:tcPr>
          <w:p w14:paraId="7212FBBF" w14:textId="77777777" w:rsidR="008E059F" w:rsidRDefault="00EA339B">
            <w:pPr>
              <w:pStyle w:val="TableParagraph"/>
              <w:spacing w:before="121"/>
              <w:ind w:left="69"/>
              <w:rPr>
                <w:sz w:val="20"/>
              </w:rPr>
            </w:pPr>
            <w:r>
              <w:rPr>
                <w:sz w:val="20"/>
              </w:rPr>
              <w:t>Başarısız</w:t>
            </w:r>
          </w:p>
        </w:tc>
        <w:tc>
          <w:tcPr>
            <w:tcW w:w="953" w:type="dxa"/>
          </w:tcPr>
          <w:p w14:paraId="5D50C0E0" w14:textId="77777777" w:rsidR="008E059F" w:rsidRDefault="00EA339B">
            <w:pPr>
              <w:pStyle w:val="TableParagraph"/>
              <w:spacing w:before="121"/>
              <w:rPr>
                <w:sz w:val="20"/>
              </w:rPr>
            </w:pPr>
            <w:r>
              <w:rPr>
                <w:sz w:val="20"/>
              </w:rPr>
              <w:t>FX</w:t>
            </w:r>
          </w:p>
        </w:tc>
        <w:tc>
          <w:tcPr>
            <w:tcW w:w="1982" w:type="dxa"/>
          </w:tcPr>
          <w:p w14:paraId="7E044031" w14:textId="77777777" w:rsidR="008E059F" w:rsidRDefault="00EA339B">
            <w:pPr>
              <w:pStyle w:val="TableParagraph"/>
              <w:spacing w:before="121"/>
              <w:ind w:left="69"/>
              <w:rPr>
                <w:sz w:val="20"/>
              </w:rPr>
            </w:pPr>
            <w:r>
              <w:rPr>
                <w:sz w:val="20"/>
              </w:rPr>
              <w:t>DD</w:t>
            </w:r>
          </w:p>
        </w:tc>
        <w:tc>
          <w:tcPr>
            <w:tcW w:w="994" w:type="dxa"/>
          </w:tcPr>
          <w:p w14:paraId="041F8A72" w14:textId="77777777" w:rsidR="008E059F" w:rsidRDefault="00EA339B">
            <w:pPr>
              <w:pStyle w:val="TableParagraph"/>
              <w:spacing w:before="121"/>
              <w:ind w:left="72"/>
              <w:rPr>
                <w:sz w:val="20"/>
              </w:rPr>
            </w:pPr>
            <w:r>
              <w:rPr>
                <w:w w:val="99"/>
                <w:sz w:val="20"/>
              </w:rPr>
              <w:t>2</w:t>
            </w:r>
          </w:p>
        </w:tc>
        <w:tc>
          <w:tcPr>
            <w:tcW w:w="1235" w:type="dxa"/>
          </w:tcPr>
          <w:p w14:paraId="490EE798" w14:textId="77777777" w:rsidR="008E059F" w:rsidRDefault="00EA339B">
            <w:pPr>
              <w:pStyle w:val="TableParagraph"/>
              <w:spacing w:before="121"/>
              <w:ind w:left="70"/>
              <w:rPr>
                <w:sz w:val="20"/>
              </w:rPr>
            </w:pPr>
            <w:r>
              <w:rPr>
                <w:sz w:val="20"/>
              </w:rPr>
              <w:t>50-74</w:t>
            </w:r>
          </w:p>
        </w:tc>
        <w:tc>
          <w:tcPr>
            <w:tcW w:w="1413" w:type="dxa"/>
            <w:vMerge w:val="restart"/>
          </w:tcPr>
          <w:p w14:paraId="5BD78430" w14:textId="77777777" w:rsidR="008E059F" w:rsidRDefault="008E059F">
            <w:pPr>
              <w:pStyle w:val="TableParagraph"/>
              <w:spacing w:before="0"/>
              <w:ind w:left="0"/>
            </w:pPr>
          </w:p>
          <w:p w14:paraId="75F71AB3" w14:textId="77777777" w:rsidR="008E059F" w:rsidRDefault="008E059F">
            <w:pPr>
              <w:pStyle w:val="TableParagraph"/>
              <w:spacing w:before="0"/>
              <w:ind w:left="0"/>
            </w:pPr>
          </w:p>
          <w:p w14:paraId="23C82922" w14:textId="77777777" w:rsidR="008E059F" w:rsidRDefault="008E059F">
            <w:pPr>
              <w:pStyle w:val="TableParagraph"/>
              <w:spacing w:before="4"/>
              <w:ind w:left="0"/>
              <w:rPr>
                <w:sz w:val="17"/>
              </w:rPr>
            </w:pPr>
          </w:p>
          <w:p w14:paraId="50DECA9A" w14:textId="77777777" w:rsidR="008E059F" w:rsidRDefault="00EA339B">
            <w:pPr>
              <w:pStyle w:val="TableParagraph"/>
              <w:spacing w:before="0"/>
              <w:ind w:left="76"/>
              <w:rPr>
                <w:sz w:val="20"/>
              </w:rPr>
            </w:pPr>
            <w:r>
              <w:rPr>
                <w:sz w:val="20"/>
              </w:rPr>
              <w:t>Başarısız</w:t>
            </w:r>
          </w:p>
        </w:tc>
      </w:tr>
      <w:tr w:rsidR="008E059F" w14:paraId="032EAD19" w14:textId="77777777">
        <w:trPr>
          <w:trHeight w:val="590"/>
        </w:trPr>
        <w:tc>
          <w:tcPr>
            <w:tcW w:w="1903" w:type="dxa"/>
            <w:vMerge w:val="restart"/>
          </w:tcPr>
          <w:p w14:paraId="7E0431B6" w14:textId="77777777" w:rsidR="008E059F" w:rsidRDefault="008E059F">
            <w:pPr>
              <w:pStyle w:val="TableParagraph"/>
              <w:spacing w:before="0"/>
              <w:ind w:left="0"/>
            </w:pPr>
          </w:p>
          <w:p w14:paraId="01F4157F" w14:textId="77777777" w:rsidR="008E059F" w:rsidRDefault="00EA339B">
            <w:pPr>
              <w:pStyle w:val="TableParagraph"/>
              <w:spacing w:before="161"/>
              <w:ind w:left="69"/>
              <w:rPr>
                <w:sz w:val="20"/>
              </w:rPr>
            </w:pPr>
            <w:r>
              <w:rPr>
                <w:sz w:val="20"/>
              </w:rPr>
              <w:t>Başarısız</w:t>
            </w:r>
          </w:p>
        </w:tc>
        <w:tc>
          <w:tcPr>
            <w:tcW w:w="953" w:type="dxa"/>
            <w:vMerge w:val="restart"/>
          </w:tcPr>
          <w:p w14:paraId="0BE95EB7" w14:textId="77777777" w:rsidR="008E059F" w:rsidRDefault="008E059F">
            <w:pPr>
              <w:pStyle w:val="TableParagraph"/>
              <w:spacing w:before="0"/>
              <w:ind w:left="0"/>
            </w:pPr>
          </w:p>
          <w:p w14:paraId="12E34117" w14:textId="77777777" w:rsidR="008E059F" w:rsidRDefault="00EA339B">
            <w:pPr>
              <w:pStyle w:val="TableParagraph"/>
              <w:spacing w:before="161"/>
              <w:rPr>
                <w:sz w:val="20"/>
              </w:rPr>
            </w:pPr>
            <w:r>
              <w:rPr>
                <w:w w:val="99"/>
                <w:sz w:val="20"/>
              </w:rPr>
              <w:t>F</w:t>
            </w:r>
          </w:p>
        </w:tc>
        <w:tc>
          <w:tcPr>
            <w:tcW w:w="1982" w:type="dxa"/>
          </w:tcPr>
          <w:p w14:paraId="3344D914" w14:textId="77777777" w:rsidR="008E059F" w:rsidRDefault="00EA339B">
            <w:pPr>
              <w:pStyle w:val="TableParagraph"/>
              <w:ind w:left="69"/>
              <w:rPr>
                <w:sz w:val="20"/>
              </w:rPr>
            </w:pPr>
            <w:r>
              <w:rPr>
                <w:sz w:val="20"/>
              </w:rPr>
              <w:t>FD</w:t>
            </w:r>
          </w:p>
        </w:tc>
        <w:tc>
          <w:tcPr>
            <w:tcW w:w="994" w:type="dxa"/>
          </w:tcPr>
          <w:p w14:paraId="734894AA" w14:textId="77777777" w:rsidR="008E059F" w:rsidRDefault="00EA339B">
            <w:pPr>
              <w:pStyle w:val="TableParagraph"/>
              <w:ind w:left="72"/>
              <w:rPr>
                <w:sz w:val="20"/>
              </w:rPr>
            </w:pPr>
            <w:r>
              <w:rPr>
                <w:w w:val="99"/>
                <w:sz w:val="20"/>
              </w:rPr>
              <w:t>1</w:t>
            </w:r>
          </w:p>
        </w:tc>
        <w:tc>
          <w:tcPr>
            <w:tcW w:w="1235" w:type="dxa"/>
          </w:tcPr>
          <w:p w14:paraId="427C2F63" w14:textId="77777777" w:rsidR="008E059F" w:rsidRDefault="00EA339B">
            <w:pPr>
              <w:pStyle w:val="TableParagraph"/>
              <w:ind w:left="70"/>
              <w:rPr>
                <w:sz w:val="20"/>
              </w:rPr>
            </w:pPr>
            <w:r>
              <w:rPr>
                <w:sz w:val="20"/>
              </w:rPr>
              <w:t>30-59</w:t>
            </w:r>
          </w:p>
        </w:tc>
        <w:tc>
          <w:tcPr>
            <w:tcW w:w="1413" w:type="dxa"/>
            <w:vMerge/>
            <w:tcBorders>
              <w:top w:val="nil"/>
            </w:tcBorders>
          </w:tcPr>
          <w:p w14:paraId="3132C14E" w14:textId="77777777" w:rsidR="008E059F" w:rsidRDefault="008E059F">
            <w:pPr>
              <w:rPr>
                <w:sz w:val="2"/>
                <w:szCs w:val="2"/>
              </w:rPr>
            </w:pPr>
          </w:p>
        </w:tc>
      </w:tr>
      <w:tr w:rsidR="008E059F" w14:paraId="6A936A4D" w14:textId="77777777">
        <w:trPr>
          <w:trHeight w:val="590"/>
        </w:trPr>
        <w:tc>
          <w:tcPr>
            <w:tcW w:w="1903" w:type="dxa"/>
            <w:vMerge/>
            <w:tcBorders>
              <w:top w:val="nil"/>
            </w:tcBorders>
          </w:tcPr>
          <w:p w14:paraId="30B350CE" w14:textId="77777777" w:rsidR="008E059F" w:rsidRDefault="008E059F">
            <w:pPr>
              <w:rPr>
                <w:sz w:val="2"/>
                <w:szCs w:val="2"/>
              </w:rPr>
            </w:pPr>
          </w:p>
        </w:tc>
        <w:tc>
          <w:tcPr>
            <w:tcW w:w="953" w:type="dxa"/>
            <w:vMerge/>
            <w:tcBorders>
              <w:top w:val="nil"/>
            </w:tcBorders>
          </w:tcPr>
          <w:p w14:paraId="6A2FB591" w14:textId="77777777" w:rsidR="008E059F" w:rsidRDefault="008E059F">
            <w:pPr>
              <w:rPr>
                <w:sz w:val="2"/>
                <w:szCs w:val="2"/>
              </w:rPr>
            </w:pPr>
          </w:p>
        </w:tc>
        <w:tc>
          <w:tcPr>
            <w:tcW w:w="1982" w:type="dxa"/>
          </w:tcPr>
          <w:p w14:paraId="43557E80" w14:textId="77777777" w:rsidR="008E059F" w:rsidRDefault="00EA339B">
            <w:pPr>
              <w:pStyle w:val="TableParagraph"/>
              <w:ind w:left="69"/>
              <w:rPr>
                <w:sz w:val="20"/>
              </w:rPr>
            </w:pPr>
            <w:r>
              <w:rPr>
                <w:sz w:val="20"/>
              </w:rPr>
              <w:t>FF</w:t>
            </w:r>
          </w:p>
        </w:tc>
        <w:tc>
          <w:tcPr>
            <w:tcW w:w="994" w:type="dxa"/>
          </w:tcPr>
          <w:p w14:paraId="41E2D3E2" w14:textId="77777777" w:rsidR="008E059F" w:rsidRDefault="00EA339B">
            <w:pPr>
              <w:pStyle w:val="TableParagraph"/>
              <w:ind w:left="72"/>
              <w:rPr>
                <w:sz w:val="20"/>
              </w:rPr>
            </w:pPr>
            <w:r>
              <w:rPr>
                <w:w w:val="99"/>
                <w:sz w:val="20"/>
              </w:rPr>
              <w:t>0</w:t>
            </w:r>
          </w:p>
        </w:tc>
        <w:tc>
          <w:tcPr>
            <w:tcW w:w="1235" w:type="dxa"/>
          </w:tcPr>
          <w:p w14:paraId="35E767B5" w14:textId="77777777" w:rsidR="008E059F" w:rsidRDefault="00EA339B">
            <w:pPr>
              <w:pStyle w:val="TableParagraph"/>
              <w:ind w:left="70"/>
              <w:rPr>
                <w:sz w:val="20"/>
              </w:rPr>
            </w:pPr>
            <w:r>
              <w:rPr>
                <w:sz w:val="20"/>
              </w:rPr>
              <w:t>0-29</w:t>
            </w:r>
          </w:p>
        </w:tc>
        <w:tc>
          <w:tcPr>
            <w:tcW w:w="1413" w:type="dxa"/>
            <w:vMerge/>
            <w:tcBorders>
              <w:top w:val="nil"/>
            </w:tcBorders>
          </w:tcPr>
          <w:p w14:paraId="09826618" w14:textId="77777777" w:rsidR="008E059F" w:rsidRDefault="008E059F">
            <w:pPr>
              <w:rPr>
                <w:sz w:val="2"/>
                <w:szCs w:val="2"/>
              </w:rPr>
            </w:pPr>
          </w:p>
        </w:tc>
      </w:tr>
    </w:tbl>
    <w:p w14:paraId="34620608" w14:textId="77777777" w:rsidR="008E059F" w:rsidRDefault="008E059F">
      <w:pPr>
        <w:pStyle w:val="GvdeMetni"/>
        <w:rPr>
          <w:sz w:val="22"/>
        </w:rPr>
      </w:pPr>
    </w:p>
    <w:p w14:paraId="2F8E36A0" w14:textId="77777777" w:rsidR="008E059F" w:rsidRDefault="008E059F">
      <w:pPr>
        <w:pStyle w:val="GvdeMetni"/>
        <w:spacing w:before="4"/>
        <w:rPr>
          <w:sz w:val="21"/>
        </w:rPr>
      </w:pPr>
    </w:p>
    <w:p w14:paraId="7DD26A2B" w14:textId="77777777" w:rsidR="008E059F" w:rsidRDefault="00EA339B">
      <w:pPr>
        <w:pStyle w:val="Balk1"/>
      </w:pPr>
      <w:r>
        <w:t>Lisansüstü öğrencileri için gerekli özel şartlar:</w:t>
      </w:r>
    </w:p>
    <w:p w14:paraId="0C3FEFDB" w14:textId="77777777" w:rsidR="008E059F" w:rsidRDefault="008E059F">
      <w:pPr>
        <w:pStyle w:val="GvdeMetni"/>
        <w:spacing w:before="1"/>
        <w:rPr>
          <w:b/>
        </w:rPr>
      </w:pPr>
    </w:p>
    <w:p w14:paraId="0BE15E55" w14:textId="77777777" w:rsidR="008E059F" w:rsidRDefault="00EA339B">
      <w:pPr>
        <w:pStyle w:val="GvdeMetni"/>
        <w:spacing w:line="276" w:lineRule="auto"/>
        <w:ind w:left="216" w:right="279"/>
        <w:jc w:val="both"/>
      </w:pPr>
      <w:r>
        <w:rPr>
          <w:b/>
        </w:rPr>
        <w:t xml:space="preserve">MADDE 12 </w:t>
      </w:r>
      <w:r>
        <w:t>– (1) Öğrenci üniversitesinde başarısız olduğu dersin yerine gideceği üniversiteden bir ders alabilir, ancak gitmeden önce bu dersin kaldığı derse eşlenik olduğunun Enstitü Müdürü tarafından onayl</w:t>
      </w:r>
      <w:r>
        <w:t>anması zorunludur.</w:t>
      </w:r>
    </w:p>
    <w:p w14:paraId="5FEC9814" w14:textId="77777777" w:rsidR="008E059F" w:rsidRDefault="008E059F">
      <w:pPr>
        <w:pStyle w:val="GvdeMetni"/>
        <w:rPr>
          <w:sz w:val="17"/>
        </w:rPr>
      </w:pPr>
    </w:p>
    <w:p w14:paraId="12930FC2" w14:textId="77777777" w:rsidR="008E059F" w:rsidRDefault="00EA339B">
      <w:pPr>
        <w:pStyle w:val="ListeParagraf"/>
        <w:numPr>
          <w:ilvl w:val="0"/>
          <w:numId w:val="5"/>
        </w:numPr>
        <w:tabs>
          <w:tab w:val="left" w:pos="529"/>
        </w:tabs>
        <w:spacing w:line="276" w:lineRule="auto"/>
        <w:ind w:right="281" w:firstLine="0"/>
        <w:jc w:val="both"/>
        <w:rPr>
          <w:sz w:val="20"/>
        </w:rPr>
      </w:pPr>
      <w:r>
        <w:rPr>
          <w:sz w:val="20"/>
        </w:rPr>
        <w:t>Öğrenci seminer dersini veya onaylanmış eşdeğerini gittiği üniversitede alabilir. Öğrencilerin yurt dışında teze başlayabilmeleri için tüm ders ve seminerlerden başarılı olmaları ve tez gerekçelerini sunmuş olmaları gerekir. Bu koşullar</w:t>
      </w:r>
      <w:r>
        <w:rPr>
          <w:sz w:val="20"/>
        </w:rPr>
        <w:t>ı sağlamadan yurt dışında tezle ilgili ancak ön çalışmalar</w:t>
      </w:r>
      <w:r>
        <w:rPr>
          <w:spacing w:val="-15"/>
          <w:sz w:val="20"/>
        </w:rPr>
        <w:t xml:space="preserve"> </w:t>
      </w:r>
      <w:r>
        <w:rPr>
          <w:sz w:val="20"/>
        </w:rPr>
        <w:t>yapılabilir.</w:t>
      </w:r>
    </w:p>
    <w:p w14:paraId="2ED04CCF" w14:textId="77777777" w:rsidR="008E059F" w:rsidRDefault="008E059F">
      <w:pPr>
        <w:pStyle w:val="GvdeMetni"/>
        <w:spacing w:before="2"/>
        <w:rPr>
          <w:sz w:val="17"/>
        </w:rPr>
      </w:pPr>
    </w:p>
    <w:p w14:paraId="081F780B" w14:textId="77777777" w:rsidR="008E059F" w:rsidRDefault="00EA339B">
      <w:pPr>
        <w:pStyle w:val="ListeParagraf"/>
        <w:numPr>
          <w:ilvl w:val="0"/>
          <w:numId w:val="5"/>
        </w:numPr>
        <w:tabs>
          <w:tab w:val="left" w:pos="653"/>
        </w:tabs>
        <w:spacing w:line="276" w:lineRule="auto"/>
        <w:ind w:right="274" w:firstLine="0"/>
        <w:jc w:val="both"/>
        <w:rPr>
          <w:sz w:val="20"/>
        </w:rPr>
      </w:pPr>
      <w:r>
        <w:rPr>
          <w:sz w:val="20"/>
        </w:rPr>
        <w:t>Yurt dışında bazı Üniversiteler ECTS notu vermeyip, geçti anlamına gelen “PASS” ibaresi kullanmaktadırlar. “Pass" ifadesi not dönüşümünde ( 85/100 ) olarak kabul</w:t>
      </w:r>
      <w:r>
        <w:rPr>
          <w:spacing w:val="-10"/>
          <w:sz w:val="20"/>
        </w:rPr>
        <w:t xml:space="preserve"> </w:t>
      </w:r>
      <w:r>
        <w:rPr>
          <w:sz w:val="20"/>
        </w:rPr>
        <w:t>edilecektir.</w:t>
      </w:r>
    </w:p>
    <w:p w14:paraId="3A4D057A" w14:textId="77777777" w:rsidR="008E059F" w:rsidRDefault="008E059F">
      <w:pPr>
        <w:pStyle w:val="GvdeMetni"/>
        <w:spacing w:before="1"/>
        <w:rPr>
          <w:sz w:val="17"/>
        </w:rPr>
      </w:pPr>
    </w:p>
    <w:p w14:paraId="37D7FE1A" w14:textId="7510044B" w:rsidR="008E059F" w:rsidRDefault="005546AB">
      <w:pPr>
        <w:pStyle w:val="Balk1"/>
        <w:spacing w:before="1"/>
      </w:pPr>
      <w:r>
        <w:t xml:space="preserve">Tekirdağ </w:t>
      </w:r>
      <w:r w:rsidR="00EA339B">
        <w:t>Namık Kemal Üniversitesine başvuru:</w:t>
      </w:r>
    </w:p>
    <w:p w14:paraId="743BEAAF" w14:textId="77777777" w:rsidR="008E059F" w:rsidRDefault="008E059F">
      <w:pPr>
        <w:pStyle w:val="GvdeMetni"/>
        <w:spacing w:before="10"/>
        <w:rPr>
          <w:b/>
          <w:sz w:val="19"/>
        </w:rPr>
      </w:pPr>
    </w:p>
    <w:p w14:paraId="39A7211A" w14:textId="77777777" w:rsidR="008E059F" w:rsidRDefault="00EA339B">
      <w:pPr>
        <w:pStyle w:val="GvdeMetni"/>
        <w:spacing w:line="276" w:lineRule="auto"/>
        <w:ind w:left="216" w:right="283"/>
        <w:jc w:val="both"/>
      </w:pPr>
      <w:r>
        <w:rPr>
          <w:b/>
        </w:rPr>
        <w:t xml:space="preserve">MADDE 13 </w:t>
      </w:r>
      <w:r>
        <w:t>- (1) NKÜ’ye Erasmus öğrencisi ola</w:t>
      </w:r>
      <w:r>
        <w:t>rak gelmek isteyen öğrenci Dış İlişkiler Ugulama ve Araştırma Merkezi internet sayfasındaki Erasmus gelen öğrenci bölümünde yer alan başvuru formunu doldurur ve başvuru formu ile istenen diğer belgeleri son başvuru tarihinden önce gönderir.</w:t>
      </w:r>
    </w:p>
    <w:p w14:paraId="5BADC114" w14:textId="77777777" w:rsidR="008E059F" w:rsidRDefault="008E059F">
      <w:pPr>
        <w:pStyle w:val="GvdeMetni"/>
        <w:spacing w:before="2"/>
        <w:rPr>
          <w:sz w:val="17"/>
        </w:rPr>
      </w:pPr>
    </w:p>
    <w:p w14:paraId="33D505EA" w14:textId="77777777" w:rsidR="008E059F" w:rsidRDefault="00EA339B">
      <w:pPr>
        <w:pStyle w:val="Balk1"/>
      </w:pPr>
      <w:r>
        <w:t>Ders seçimi ve</w:t>
      </w:r>
      <w:r>
        <w:t xml:space="preserve"> öğrenim anlaşması:</w:t>
      </w:r>
    </w:p>
    <w:p w14:paraId="0E50C032" w14:textId="77777777" w:rsidR="008E059F" w:rsidRDefault="008E059F">
      <w:pPr>
        <w:sectPr w:rsidR="008E059F">
          <w:pgSz w:w="11910" w:h="16840"/>
          <w:pgMar w:top="1320" w:right="860" w:bottom="280" w:left="1200" w:header="749" w:footer="0" w:gutter="0"/>
          <w:cols w:space="708"/>
        </w:sectPr>
      </w:pPr>
    </w:p>
    <w:p w14:paraId="4AE9FE01" w14:textId="77777777" w:rsidR="008E059F" w:rsidRDefault="00EA339B">
      <w:pPr>
        <w:pStyle w:val="GvdeMetni"/>
        <w:spacing w:before="89" w:line="276" w:lineRule="auto"/>
        <w:ind w:left="216" w:right="277"/>
        <w:jc w:val="both"/>
      </w:pPr>
      <w:r>
        <w:rPr>
          <w:b/>
        </w:rPr>
        <w:lastRenderedPageBreak/>
        <w:t xml:space="preserve">MADDE 14 </w:t>
      </w:r>
      <w:r>
        <w:t>- (1) Gelen öğrenci, NKÜ'deyken alacağı derslerin seçimi için NKÜ internet sayfasından ulaşabileceği “Bilgi Paketi”nden yararlanır ve öğrenim anlaşmasında (learning agreement) almayı planladığı dersleri belirt</w:t>
      </w:r>
      <w:r>
        <w:t>ir.</w:t>
      </w:r>
    </w:p>
    <w:p w14:paraId="0DC23CEA" w14:textId="77777777" w:rsidR="008E059F" w:rsidRDefault="008E059F">
      <w:pPr>
        <w:pStyle w:val="GvdeMetni"/>
        <w:spacing w:before="2"/>
        <w:rPr>
          <w:sz w:val="17"/>
        </w:rPr>
      </w:pPr>
    </w:p>
    <w:p w14:paraId="6FA79A99" w14:textId="77777777" w:rsidR="008E059F" w:rsidRDefault="00EA339B">
      <w:pPr>
        <w:pStyle w:val="ListeParagraf"/>
        <w:numPr>
          <w:ilvl w:val="0"/>
          <w:numId w:val="4"/>
        </w:numPr>
        <w:tabs>
          <w:tab w:val="left" w:pos="524"/>
        </w:tabs>
        <w:spacing w:before="1"/>
        <w:ind w:hanging="308"/>
        <w:rPr>
          <w:sz w:val="20"/>
        </w:rPr>
      </w:pPr>
      <w:r>
        <w:rPr>
          <w:sz w:val="20"/>
        </w:rPr>
        <w:t>Derslerin açılmaması durumunda öğrenim anlaşmasında belirtilen derslerde değişiklik</w:t>
      </w:r>
      <w:r>
        <w:rPr>
          <w:spacing w:val="-13"/>
          <w:sz w:val="20"/>
        </w:rPr>
        <w:t xml:space="preserve"> </w:t>
      </w:r>
      <w:r>
        <w:rPr>
          <w:sz w:val="20"/>
        </w:rPr>
        <w:t>yapılabilir.</w:t>
      </w:r>
    </w:p>
    <w:p w14:paraId="0BE2C543" w14:textId="77777777" w:rsidR="008E059F" w:rsidRDefault="008E059F">
      <w:pPr>
        <w:pStyle w:val="GvdeMetni"/>
        <w:spacing w:before="10"/>
        <w:rPr>
          <w:sz w:val="19"/>
        </w:rPr>
      </w:pPr>
    </w:p>
    <w:p w14:paraId="15B6618D" w14:textId="77777777" w:rsidR="008E059F" w:rsidRDefault="00EA339B">
      <w:pPr>
        <w:pStyle w:val="ListeParagraf"/>
        <w:numPr>
          <w:ilvl w:val="0"/>
          <w:numId w:val="4"/>
        </w:numPr>
        <w:tabs>
          <w:tab w:val="left" w:pos="526"/>
        </w:tabs>
        <w:spacing w:line="278" w:lineRule="auto"/>
        <w:ind w:left="216" w:right="286" w:firstLine="0"/>
        <w:rPr>
          <w:sz w:val="20"/>
        </w:rPr>
      </w:pPr>
      <w:r>
        <w:rPr>
          <w:sz w:val="20"/>
        </w:rPr>
        <w:t>Bölüm/EABD Erasmus Koordinatörleri Erasmus Öğrenci Hareketliliği kapsamında gelen öğrencilerin ders seçimlerinde de yardımcı olurlar ve öğrencilerin ilgili form ve belgelerini</w:t>
      </w:r>
      <w:r>
        <w:rPr>
          <w:spacing w:val="-9"/>
          <w:sz w:val="20"/>
        </w:rPr>
        <w:t xml:space="preserve"> </w:t>
      </w:r>
      <w:r>
        <w:rPr>
          <w:sz w:val="20"/>
        </w:rPr>
        <w:t>imzalarlar.</w:t>
      </w:r>
    </w:p>
    <w:p w14:paraId="10C91945" w14:textId="77777777" w:rsidR="008E059F" w:rsidRDefault="008E059F">
      <w:pPr>
        <w:pStyle w:val="GvdeMetni"/>
        <w:spacing w:before="10"/>
        <w:rPr>
          <w:sz w:val="16"/>
        </w:rPr>
      </w:pPr>
    </w:p>
    <w:p w14:paraId="0DDB24A4" w14:textId="77777777" w:rsidR="008E059F" w:rsidRDefault="00EA339B">
      <w:pPr>
        <w:pStyle w:val="Balk1"/>
      </w:pPr>
      <w:r>
        <w:t>Kabul mektubunun gönderilmesi:</w:t>
      </w:r>
    </w:p>
    <w:p w14:paraId="2B196060" w14:textId="77777777" w:rsidR="008E059F" w:rsidRDefault="008E059F">
      <w:pPr>
        <w:pStyle w:val="GvdeMetni"/>
        <w:spacing w:before="11"/>
        <w:rPr>
          <w:b/>
          <w:sz w:val="19"/>
        </w:rPr>
      </w:pPr>
    </w:p>
    <w:p w14:paraId="07931094" w14:textId="77777777" w:rsidR="008E059F" w:rsidRDefault="00EA339B">
      <w:pPr>
        <w:pStyle w:val="GvdeMetni"/>
        <w:spacing w:line="276" w:lineRule="auto"/>
        <w:ind w:left="216" w:right="278"/>
        <w:jc w:val="both"/>
      </w:pPr>
      <w:r>
        <w:rPr>
          <w:b/>
        </w:rPr>
        <w:t xml:space="preserve">MADDE 15 </w:t>
      </w:r>
      <w:r>
        <w:t xml:space="preserve">- (1) Başvuru evrakı ve öğrenim anlaşması alındıktan sonra, iki üniversite arasındaki değişim dengesi (giden-gelen öğrenci sayısı arasındaki oran) ve öğrencinin akademik durumu göz önüne alınarak başvurusu değerlendirilir. Kabul edilen öğrencilere Erasmus </w:t>
      </w:r>
      <w:r>
        <w:t>Ofisi tarafından kabul mektupları hazırlanır ve gönderilir.</w:t>
      </w:r>
    </w:p>
    <w:p w14:paraId="2FEFBF1B" w14:textId="77777777" w:rsidR="008E059F" w:rsidRDefault="008E059F">
      <w:pPr>
        <w:pStyle w:val="GvdeMetni"/>
        <w:spacing w:before="1"/>
        <w:rPr>
          <w:sz w:val="17"/>
        </w:rPr>
      </w:pPr>
    </w:p>
    <w:p w14:paraId="1B833146" w14:textId="77777777" w:rsidR="008E059F" w:rsidRDefault="00EA339B">
      <w:pPr>
        <w:pStyle w:val="Balk1"/>
      </w:pPr>
      <w:r>
        <w:t>Gelecek öğrencilerin bilgilendirilmesi:</w:t>
      </w:r>
    </w:p>
    <w:p w14:paraId="13060254" w14:textId="77777777" w:rsidR="008E059F" w:rsidRDefault="008E059F">
      <w:pPr>
        <w:pStyle w:val="GvdeMetni"/>
        <w:spacing w:before="2"/>
        <w:rPr>
          <w:b/>
        </w:rPr>
      </w:pPr>
    </w:p>
    <w:p w14:paraId="68941752" w14:textId="77777777" w:rsidR="008E059F" w:rsidRDefault="00EA339B">
      <w:pPr>
        <w:pStyle w:val="GvdeMetni"/>
        <w:spacing w:line="276" w:lineRule="auto"/>
        <w:ind w:left="216" w:right="278"/>
        <w:jc w:val="both"/>
      </w:pPr>
      <w:r>
        <w:rPr>
          <w:b/>
        </w:rPr>
        <w:t xml:space="preserve">MADDE 16 </w:t>
      </w:r>
      <w:r>
        <w:t>- (1) Öğrencilere kabul mektubu ile birlikte bilgi notları gönderilir. Bilgi notlarında vize işlemleri, akademik takvim, uyum programı vb. bilgil</w:t>
      </w:r>
      <w:r>
        <w:t>er yer alır. Erasmus Ofisi gelen öğrencilerin NKÜ içi idari işlemlerinde danışmanlık yapar.</w:t>
      </w:r>
    </w:p>
    <w:p w14:paraId="144F9795" w14:textId="77777777" w:rsidR="008E059F" w:rsidRDefault="008E059F">
      <w:pPr>
        <w:pStyle w:val="GvdeMetni"/>
        <w:rPr>
          <w:sz w:val="17"/>
        </w:rPr>
      </w:pPr>
    </w:p>
    <w:p w14:paraId="4C76ED18" w14:textId="77777777" w:rsidR="008E059F" w:rsidRDefault="00EA339B">
      <w:pPr>
        <w:pStyle w:val="Balk1"/>
      </w:pPr>
      <w:r>
        <w:t>Gelen öğrencilere uyum (Oryantasyon) programı:</w:t>
      </w:r>
    </w:p>
    <w:p w14:paraId="097293E1" w14:textId="77777777" w:rsidR="008E059F" w:rsidRDefault="008E059F">
      <w:pPr>
        <w:pStyle w:val="GvdeMetni"/>
        <w:spacing w:before="2"/>
        <w:rPr>
          <w:b/>
        </w:rPr>
      </w:pPr>
    </w:p>
    <w:p w14:paraId="0B9FD045" w14:textId="77777777" w:rsidR="008E059F" w:rsidRDefault="00EA339B">
      <w:pPr>
        <w:pStyle w:val="GvdeMetni"/>
        <w:spacing w:line="276" w:lineRule="auto"/>
        <w:ind w:left="216" w:right="278"/>
        <w:jc w:val="both"/>
      </w:pPr>
      <w:r>
        <w:rPr>
          <w:b/>
        </w:rPr>
        <w:t xml:space="preserve">MADDE 17 </w:t>
      </w:r>
      <w:r>
        <w:t xml:space="preserve">- (1) Öğrenciler için Erasmus Ofisi tarafından her dönem başında bir uyum programı düzenlenir. Bu program </w:t>
      </w:r>
      <w:r>
        <w:t>kapsamında özel olarak tasarlanan ve dönem başlamadan önce verilmeye başlanan dersler bulunur. Ayrıca uyum programı kapsamında çeşitli sosyal ve kültürel etkinlikler, üniversite tanıtımı, geziler vb. etkinlikler Erasmus Ofisi ve Erasmus Öğrenci Topluluğu t</w:t>
      </w:r>
      <w:r>
        <w:t>arafından düzenlenir. Bölüm/EABD Erasmus Koordinatörleri de gelen Erasmus öğrencilerine Program/ Bölümlerine uyumları konusunda danışmanlık yaparlar.</w:t>
      </w:r>
    </w:p>
    <w:p w14:paraId="0D059D05" w14:textId="77777777" w:rsidR="008E059F" w:rsidRDefault="008E059F">
      <w:pPr>
        <w:pStyle w:val="GvdeMetni"/>
        <w:spacing w:before="11"/>
        <w:rPr>
          <w:sz w:val="16"/>
        </w:rPr>
      </w:pPr>
    </w:p>
    <w:p w14:paraId="2B6573E7" w14:textId="727653C7" w:rsidR="008E059F" w:rsidRDefault="005546AB">
      <w:pPr>
        <w:pStyle w:val="Balk1"/>
        <w:spacing w:line="278" w:lineRule="auto"/>
        <w:ind w:right="278"/>
        <w:jc w:val="both"/>
      </w:pPr>
      <w:r>
        <w:t xml:space="preserve">Tekirdağ </w:t>
      </w:r>
      <w:r w:rsidR="00EA339B">
        <w:t>Namık Kemal Üniversitesinde Programını Tamamlayan Öğrencilerle İlgili Yapılması Gereken İşlemler:</w:t>
      </w:r>
    </w:p>
    <w:p w14:paraId="6E1C2966" w14:textId="77777777" w:rsidR="008E059F" w:rsidRDefault="00EA339B">
      <w:pPr>
        <w:pStyle w:val="GvdeMetni"/>
        <w:spacing w:before="196" w:line="276" w:lineRule="auto"/>
        <w:ind w:left="216" w:right="276"/>
        <w:jc w:val="both"/>
      </w:pPr>
      <w:r>
        <w:rPr>
          <w:b/>
        </w:rPr>
        <w:t>MADDE 1</w:t>
      </w:r>
      <w:r>
        <w:rPr>
          <w:b/>
        </w:rPr>
        <w:t xml:space="preserve">8 </w:t>
      </w:r>
      <w:r>
        <w:t>- (1) Üniversitede programını tamamlayan Erasmus öğrencileri ülkelerine dönmeden önce NKÜ kütüphane kartlarını, öğrenci kimlik kartlarını ve Kayıt Sildirme Formunu Erasmus Ofisine teslim ederler. Varsa yurtlara ödedikleri depozitoyu geri alırlar. Bu işle</w:t>
      </w:r>
      <w:r>
        <w:t>mleri tamamlayan öğrencilerin dönem içinde kullandıkları NKÜ eposta hesapları kapatılır ve ya bizzat öğrencinin kendisine ya da kendi üniversitelerinin Değişim Programları Ofisleri’ne Erasmus Ofisi tarafından resmi not çizelgeleri ve katılım belgeleri veri</w:t>
      </w:r>
      <w:r>
        <w:t>lir/gönderilir.</w:t>
      </w:r>
    </w:p>
    <w:p w14:paraId="496D2F02" w14:textId="77777777" w:rsidR="008E059F" w:rsidRDefault="008E059F">
      <w:pPr>
        <w:pStyle w:val="GvdeMetni"/>
        <w:spacing w:before="2"/>
        <w:rPr>
          <w:sz w:val="17"/>
        </w:rPr>
      </w:pPr>
    </w:p>
    <w:p w14:paraId="7CB12A6D" w14:textId="77777777" w:rsidR="008E059F" w:rsidRDefault="00EA339B">
      <w:pPr>
        <w:pStyle w:val="Balk1"/>
      </w:pPr>
      <w:r>
        <w:t>Öğrenci Staj (Eğitim) hareketliliği:</w:t>
      </w:r>
    </w:p>
    <w:p w14:paraId="33B59B79" w14:textId="77777777" w:rsidR="008E059F" w:rsidRDefault="008E059F">
      <w:pPr>
        <w:pStyle w:val="GvdeMetni"/>
        <w:spacing w:before="10"/>
        <w:rPr>
          <w:b/>
          <w:sz w:val="19"/>
        </w:rPr>
      </w:pPr>
    </w:p>
    <w:p w14:paraId="591A3ECE" w14:textId="77777777" w:rsidR="008E059F" w:rsidRDefault="00EA339B">
      <w:pPr>
        <w:pStyle w:val="GvdeMetni"/>
        <w:spacing w:before="1"/>
        <w:ind w:left="216"/>
      </w:pPr>
      <w:r>
        <w:rPr>
          <w:b/>
        </w:rPr>
        <w:t xml:space="preserve">MADDE 19 </w:t>
      </w:r>
      <w:r>
        <w:t>- (1) Stajyer öğrenciler aşağıdaki hususları sağlamak kaydıyla Erasmus hibesi alabilir;</w:t>
      </w:r>
    </w:p>
    <w:p w14:paraId="5EE85A79" w14:textId="77777777" w:rsidR="008E059F" w:rsidRDefault="008E059F">
      <w:pPr>
        <w:pStyle w:val="GvdeMetni"/>
        <w:spacing w:before="1"/>
      </w:pPr>
    </w:p>
    <w:p w14:paraId="12E3B48B" w14:textId="77777777" w:rsidR="008E059F" w:rsidRDefault="00EA339B">
      <w:pPr>
        <w:pStyle w:val="ListeParagraf"/>
        <w:numPr>
          <w:ilvl w:val="0"/>
          <w:numId w:val="3"/>
        </w:numPr>
        <w:tabs>
          <w:tab w:val="left" w:pos="435"/>
        </w:tabs>
        <w:rPr>
          <w:sz w:val="20"/>
        </w:rPr>
      </w:pPr>
      <w:r>
        <w:rPr>
          <w:sz w:val="20"/>
        </w:rPr>
        <w:t>Stajın asgari üç aylık bir öğrenim süresiyle birleştirilmiş</w:t>
      </w:r>
      <w:r>
        <w:rPr>
          <w:spacing w:val="-7"/>
          <w:sz w:val="20"/>
        </w:rPr>
        <w:t xml:space="preserve"> </w:t>
      </w:r>
      <w:r>
        <w:rPr>
          <w:sz w:val="20"/>
        </w:rPr>
        <w:t>olması,</w:t>
      </w:r>
    </w:p>
    <w:p w14:paraId="4491F124" w14:textId="77777777" w:rsidR="008E059F" w:rsidRDefault="008E059F">
      <w:pPr>
        <w:pStyle w:val="GvdeMetni"/>
        <w:spacing w:before="2"/>
      </w:pPr>
    </w:p>
    <w:p w14:paraId="2DDCD835" w14:textId="77777777" w:rsidR="008E059F" w:rsidRDefault="00EA339B">
      <w:pPr>
        <w:pStyle w:val="ListeParagraf"/>
        <w:numPr>
          <w:ilvl w:val="0"/>
          <w:numId w:val="3"/>
        </w:numPr>
        <w:tabs>
          <w:tab w:val="left" w:pos="481"/>
        </w:tabs>
        <w:spacing w:line="276" w:lineRule="auto"/>
        <w:ind w:left="216" w:right="279" w:firstLine="0"/>
        <w:rPr>
          <w:sz w:val="20"/>
        </w:rPr>
      </w:pPr>
      <w:r>
        <w:rPr>
          <w:sz w:val="20"/>
        </w:rPr>
        <w:t>Stajın öğrencinin kendi yükseköğretim kurumu tarafından öğrencinin çalışmalarının, ders programının temel bir parçası olarak</w:t>
      </w:r>
      <w:r>
        <w:rPr>
          <w:spacing w:val="-2"/>
          <w:sz w:val="20"/>
        </w:rPr>
        <w:t xml:space="preserve"> </w:t>
      </w:r>
      <w:r>
        <w:rPr>
          <w:sz w:val="20"/>
        </w:rPr>
        <w:t>görülmesi,</w:t>
      </w:r>
    </w:p>
    <w:p w14:paraId="0C5F32D6" w14:textId="77777777" w:rsidR="008E059F" w:rsidRDefault="008E059F">
      <w:pPr>
        <w:pStyle w:val="GvdeMetni"/>
        <w:rPr>
          <w:sz w:val="17"/>
        </w:rPr>
      </w:pPr>
    </w:p>
    <w:p w14:paraId="3B2DFD74" w14:textId="77777777" w:rsidR="008E059F" w:rsidRDefault="00EA339B">
      <w:pPr>
        <w:pStyle w:val="ListeParagraf"/>
        <w:numPr>
          <w:ilvl w:val="0"/>
          <w:numId w:val="3"/>
        </w:numPr>
        <w:tabs>
          <w:tab w:val="left" w:pos="426"/>
        </w:tabs>
        <w:spacing w:before="1"/>
        <w:ind w:left="425" w:hanging="210"/>
        <w:rPr>
          <w:sz w:val="20"/>
        </w:rPr>
      </w:pPr>
      <w:r>
        <w:rPr>
          <w:sz w:val="20"/>
        </w:rPr>
        <w:t>Stajın diğer Avrupa Birliği Eğitim ve Gençlik Programları tarafından tamamıyla desteklenmemiş</w:t>
      </w:r>
      <w:r>
        <w:rPr>
          <w:spacing w:val="-24"/>
          <w:sz w:val="20"/>
        </w:rPr>
        <w:t xml:space="preserve"> </w:t>
      </w:r>
      <w:r>
        <w:rPr>
          <w:sz w:val="20"/>
        </w:rPr>
        <w:t>olması.</w:t>
      </w:r>
    </w:p>
    <w:p w14:paraId="6E613071" w14:textId="77777777" w:rsidR="008E059F" w:rsidRDefault="008E059F">
      <w:pPr>
        <w:pStyle w:val="GvdeMetni"/>
        <w:spacing w:before="10"/>
        <w:rPr>
          <w:sz w:val="19"/>
        </w:rPr>
      </w:pPr>
    </w:p>
    <w:p w14:paraId="218C4F12" w14:textId="77777777" w:rsidR="008E059F" w:rsidRDefault="00EA339B">
      <w:pPr>
        <w:pStyle w:val="ListeParagraf"/>
        <w:numPr>
          <w:ilvl w:val="0"/>
          <w:numId w:val="3"/>
        </w:numPr>
        <w:tabs>
          <w:tab w:val="left" w:pos="448"/>
        </w:tabs>
        <w:ind w:left="447" w:hanging="232"/>
        <w:rPr>
          <w:sz w:val="20"/>
        </w:rPr>
      </w:pPr>
      <w:r>
        <w:rPr>
          <w:sz w:val="20"/>
        </w:rPr>
        <w:t>Staj yapacakları</w:t>
      </w:r>
      <w:r>
        <w:rPr>
          <w:sz w:val="20"/>
        </w:rPr>
        <w:t xml:space="preserve"> işletmeyi/kurumu kendilerinin</w:t>
      </w:r>
      <w:r>
        <w:rPr>
          <w:spacing w:val="-1"/>
          <w:sz w:val="20"/>
        </w:rPr>
        <w:t xml:space="preserve"> </w:t>
      </w:r>
      <w:r>
        <w:rPr>
          <w:sz w:val="20"/>
        </w:rPr>
        <w:t>bulması,</w:t>
      </w:r>
    </w:p>
    <w:p w14:paraId="1EC22E4C" w14:textId="77777777" w:rsidR="008E059F" w:rsidRDefault="008E059F">
      <w:pPr>
        <w:pStyle w:val="GvdeMetni"/>
        <w:spacing w:before="2"/>
      </w:pPr>
    </w:p>
    <w:p w14:paraId="1A76DB66" w14:textId="77777777" w:rsidR="008E059F" w:rsidRDefault="00EA339B">
      <w:pPr>
        <w:pStyle w:val="ListeParagraf"/>
        <w:numPr>
          <w:ilvl w:val="0"/>
          <w:numId w:val="3"/>
        </w:numPr>
        <w:tabs>
          <w:tab w:val="left" w:pos="435"/>
        </w:tabs>
        <w:spacing w:line="276" w:lineRule="auto"/>
        <w:ind w:left="216" w:right="285" w:firstLine="0"/>
        <w:rPr>
          <w:sz w:val="20"/>
        </w:rPr>
      </w:pPr>
      <w:r>
        <w:rPr>
          <w:sz w:val="20"/>
        </w:rPr>
        <w:t>Son başvuru tarihine kadar staj yapacakları işletme/kurumdan kabul edildiklerine dair resmi belgeyi almış olmaları ve Erasmus Ofisine bir örneğini iletmiş</w:t>
      </w:r>
      <w:r>
        <w:rPr>
          <w:spacing w:val="-6"/>
          <w:sz w:val="20"/>
        </w:rPr>
        <w:t xml:space="preserve"> </w:t>
      </w:r>
      <w:r>
        <w:rPr>
          <w:sz w:val="20"/>
        </w:rPr>
        <w:t>olması.</w:t>
      </w:r>
    </w:p>
    <w:p w14:paraId="5CCB9DF6" w14:textId="77777777" w:rsidR="008E059F" w:rsidRDefault="008E059F">
      <w:pPr>
        <w:spacing w:line="276" w:lineRule="auto"/>
        <w:rPr>
          <w:sz w:val="20"/>
        </w:rPr>
        <w:sectPr w:rsidR="008E059F">
          <w:pgSz w:w="11910" w:h="16840"/>
          <w:pgMar w:top="1320" w:right="860" w:bottom="280" w:left="1200" w:header="749" w:footer="0" w:gutter="0"/>
          <w:cols w:space="708"/>
        </w:sectPr>
      </w:pPr>
    </w:p>
    <w:p w14:paraId="0A77D244" w14:textId="77777777" w:rsidR="008E059F" w:rsidRDefault="00EA339B">
      <w:pPr>
        <w:pStyle w:val="ListeParagraf"/>
        <w:numPr>
          <w:ilvl w:val="0"/>
          <w:numId w:val="2"/>
        </w:numPr>
        <w:tabs>
          <w:tab w:val="left" w:pos="572"/>
        </w:tabs>
        <w:spacing w:before="89" w:line="278" w:lineRule="auto"/>
        <w:ind w:right="275" w:firstLine="0"/>
        <w:jc w:val="both"/>
        <w:rPr>
          <w:sz w:val="20"/>
        </w:rPr>
      </w:pPr>
      <w:r>
        <w:rPr>
          <w:sz w:val="20"/>
        </w:rPr>
        <w:lastRenderedPageBreak/>
        <w:t>Başvurular, başvuru sürecinden önc</w:t>
      </w:r>
      <w:r>
        <w:rPr>
          <w:sz w:val="20"/>
        </w:rPr>
        <w:t>e açıklanan ve o yıl için belirlenen kriterler göz önüne alınarak Üniversite Erasmus Kurulu tarafından değerlendirilir ve seçimler</w:t>
      </w:r>
      <w:r>
        <w:rPr>
          <w:spacing w:val="-4"/>
          <w:sz w:val="20"/>
        </w:rPr>
        <w:t xml:space="preserve"> </w:t>
      </w:r>
      <w:r>
        <w:rPr>
          <w:sz w:val="20"/>
        </w:rPr>
        <w:t>yapılır.</w:t>
      </w:r>
    </w:p>
    <w:p w14:paraId="31CA43C2" w14:textId="77777777" w:rsidR="008E059F" w:rsidRDefault="00EA339B">
      <w:pPr>
        <w:pStyle w:val="ListeParagraf"/>
        <w:numPr>
          <w:ilvl w:val="0"/>
          <w:numId w:val="2"/>
        </w:numPr>
        <w:tabs>
          <w:tab w:val="left" w:pos="529"/>
        </w:tabs>
        <w:spacing w:before="196" w:line="276" w:lineRule="auto"/>
        <w:ind w:right="276" w:firstLine="0"/>
        <w:jc w:val="both"/>
        <w:rPr>
          <w:sz w:val="20"/>
        </w:rPr>
      </w:pPr>
      <w:r>
        <w:rPr>
          <w:sz w:val="20"/>
        </w:rPr>
        <w:t>Öğrenci gitmeden önce NKÜ ile öğrenci arasında bir hareketlilik (hibe) sözleşmesi imzalanır. Bu sözleşme ile öğrencinin Öğrenci Staj Hareketliliği programına katılacağı kesinleşir. Hibe sözleşmesi imzalayan öğrencilerin isimleri Erasmus Ofisi tarafından Öğ</w:t>
      </w:r>
      <w:r>
        <w:rPr>
          <w:sz w:val="20"/>
        </w:rPr>
        <w:t>renci İşleri Dairesi Başkanlığı’na</w:t>
      </w:r>
      <w:r>
        <w:rPr>
          <w:spacing w:val="-9"/>
          <w:sz w:val="20"/>
        </w:rPr>
        <w:t xml:space="preserve"> </w:t>
      </w:r>
      <w:r>
        <w:rPr>
          <w:sz w:val="20"/>
        </w:rPr>
        <w:t>bildirilir.</w:t>
      </w:r>
    </w:p>
    <w:p w14:paraId="37964723" w14:textId="77777777" w:rsidR="008E059F" w:rsidRDefault="008E059F">
      <w:pPr>
        <w:pStyle w:val="GvdeMetni"/>
        <w:spacing w:before="2"/>
        <w:rPr>
          <w:sz w:val="17"/>
        </w:rPr>
      </w:pPr>
    </w:p>
    <w:p w14:paraId="1B33E581" w14:textId="77777777" w:rsidR="008E059F" w:rsidRDefault="00EA339B">
      <w:pPr>
        <w:pStyle w:val="ListeParagraf"/>
        <w:numPr>
          <w:ilvl w:val="0"/>
          <w:numId w:val="2"/>
        </w:numPr>
        <w:tabs>
          <w:tab w:val="left" w:pos="555"/>
        </w:tabs>
        <w:spacing w:line="276" w:lineRule="auto"/>
        <w:ind w:right="273" w:firstLine="0"/>
        <w:jc w:val="both"/>
        <w:rPr>
          <w:sz w:val="20"/>
        </w:rPr>
      </w:pPr>
      <w:r>
        <w:rPr>
          <w:sz w:val="20"/>
        </w:rPr>
        <w:t>Hibeler o yıl için Türkiye Ulusal Ajansı'nın belirlediği hüküm ve kriterlere uymak suretiyle Üniversite tarafından her yıl için belirlenen ve duyurulan usül ve esaslar çerçevesinde</w:t>
      </w:r>
      <w:r>
        <w:rPr>
          <w:spacing w:val="-17"/>
          <w:sz w:val="20"/>
        </w:rPr>
        <w:t xml:space="preserve"> </w:t>
      </w:r>
      <w:r>
        <w:rPr>
          <w:sz w:val="20"/>
        </w:rPr>
        <w:t>ödenir.</w:t>
      </w:r>
    </w:p>
    <w:p w14:paraId="30F84CE6" w14:textId="77777777" w:rsidR="008E059F" w:rsidRDefault="008E059F">
      <w:pPr>
        <w:pStyle w:val="GvdeMetni"/>
        <w:rPr>
          <w:sz w:val="17"/>
        </w:rPr>
      </w:pPr>
    </w:p>
    <w:p w14:paraId="40AACE86" w14:textId="77777777" w:rsidR="008E059F" w:rsidRDefault="00EA339B">
      <w:pPr>
        <w:pStyle w:val="ListeParagraf"/>
        <w:numPr>
          <w:ilvl w:val="0"/>
          <w:numId w:val="2"/>
        </w:numPr>
        <w:tabs>
          <w:tab w:val="left" w:pos="586"/>
        </w:tabs>
        <w:spacing w:line="276" w:lineRule="auto"/>
        <w:ind w:right="284" w:firstLine="0"/>
        <w:jc w:val="both"/>
        <w:rPr>
          <w:sz w:val="20"/>
        </w:rPr>
      </w:pPr>
      <w:r>
        <w:rPr>
          <w:sz w:val="20"/>
        </w:rPr>
        <w:t>Staj süresince temel alınacak belgeler Staj için Öğrenim Anlaşması</w:t>
      </w:r>
      <w:r>
        <w:rPr>
          <w:sz w:val="20"/>
        </w:rPr>
        <w:t>, Katılım Belgesi ve Staj Başarı Formudur.</w:t>
      </w:r>
    </w:p>
    <w:p w14:paraId="73C1C2A5" w14:textId="77777777" w:rsidR="008E059F" w:rsidRDefault="008E059F">
      <w:pPr>
        <w:pStyle w:val="GvdeMetni"/>
        <w:spacing w:before="1"/>
        <w:rPr>
          <w:sz w:val="17"/>
        </w:rPr>
      </w:pPr>
    </w:p>
    <w:p w14:paraId="6B551738" w14:textId="77777777" w:rsidR="008E059F" w:rsidRDefault="00EA339B">
      <w:pPr>
        <w:pStyle w:val="ListeParagraf"/>
        <w:numPr>
          <w:ilvl w:val="0"/>
          <w:numId w:val="1"/>
        </w:numPr>
        <w:tabs>
          <w:tab w:val="left" w:pos="449"/>
        </w:tabs>
        <w:spacing w:line="276" w:lineRule="auto"/>
        <w:ind w:right="272" w:firstLine="0"/>
        <w:jc w:val="both"/>
        <w:rPr>
          <w:sz w:val="20"/>
        </w:rPr>
      </w:pPr>
      <w:r>
        <w:rPr>
          <w:sz w:val="20"/>
        </w:rPr>
        <w:t>Stajlarını tamamlayan öğrenciler, her iki kurum tarafından onaylanmış Staj için Öğrenim Anlaşması, karşı kurumca onaylanmış Katılım Belgesi ve Staj Başarı Formunu Erasmus Ofisi’ne teslim etmekle yükümlüdürler. Öğ</w:t>
      </w:r>
      <w:r>
        <w:rPr>
          <w:sz w:val="20"/>
        </w:rPr>
        <w:t>rencinin stajı, ilgili birim staj sorumlusu ve birim yöneticisi ile işbirliği içerisinde</w:t>
      </w:r>
      <w:r>
        <w:rPr>
          <w:spacing w:val="-24"/>
          <w:sz w:val="20"/>
        </w:rPr>
        <w:t xml:space="preserve"> </w:t>
      </w:r>
      <w:r>
        <w:rPr>
          <w:sz w:val="20"/>
        </w:rPr>
        <w:t>düzenlenmelidir.</w:t>
      </w:r>
    </w:p>
    <w:p w14:paraId="3A68B31C" w14:textId="77777777" w:rsidR="008E059F" w:rsidRDefault="008E059F">
      <w:pPr>
        <w:pStyle w:val="GvdeMetni"/>
        <w:rPr>
          <w:sz w:val="17"/>
        </w:rPr>
      </w:pPr>
    </w:p>
    <w:p w14:paraId="5DAC0513" w14:textId="77777777" w:rsidR="008E059F" w:rsidRDefault="00EA339B">
      <w:pPr>
        <w:pStyle w:val="ListeParagraf"/>
        <w:numPr>
          <w:ilvl w:val="0"/>
          <w:numId w:val="1"/>
        </w:numPr>
        <w:tabs>
          <w:tab w:val="left" w:pos="449"/>
        </w:tabs>
        <w:spacing w:line="278" w:lineRule="auto"/>
        <w:ind w:right="285" w:firstLine="0"/>
        <w:jc w:val="both"/>
        <w:rPr>
          <w:sz w:val="20"/>
        </w:rPr>
      </w:pPr>
      <w:r>
        <w:rPr>
          <w:sz w:val="20"/>
        </w:rPr>
        <w:t>Stajın programa sayımı; ilgili Bölüm/Anabilim Dalı Erasmus Koordinatörünün önerisi üzerine, birim amiri, üniversite koordinatörü ve sorumlu rektör ya</w:t>
      </w:r>
      <w:r>
        <w:rPr>
          <w:sz w:val="20"/>
        </w:rPr>
        <w:t>rdımcısının onayı ile</w:t>
      </w:r>
      <w:r>
        <w:rPr>
          <w:spacing w:val="-12"/>
          <w:sz w:val="20"/>
        </w:rPr>
        <w:t xml:space="preserve"> </w:t>
      </w:r>
      <w:r>
        <w:rPr>
          <w:sz w:val="20"/>
        </w:rPr>
        <w:t>yapılır.</w:t>
      </w:r>
    </w:p>
    <w:p w14:paraId="2B4B83D1" w14:textId="77777777" w:rsidR="008E059F" w:rsidRDefault="00EA339B">
      <w:pPr>
        <w:pStyle w:val="Balk1"/>
        <w:spacing w:before="196"/>
      </w:pPr>
      <w:r>
        <w:t>Disiplin işlemleri:</w:t>
      </w:r>
    </w:p>
    <w:p w14:paraId="0B0CC192" w14:textId="77777777" w:rsidR="008E059F" w:rsidRDefault="008E059F">
      <w:pPr>
        <w:pStyle w:val="GvdeMetni"/>
        <w:spacing w:before="1"/>
        <w:rPr>
          <w:b/>
        </w:rPr>
      </w:pPr>
    </w:p>
    <w:p w14:paraId="036AACF3" w14:textId="77777777" w:rsidR="008E059F" w:rsidRDefault="00EA339B">
      <w:pPr>
        <w:pStyle w:val="GvdeMetni"/>
        <w:spacing w:line="276" w:lineRule="auto"/>
        <w:ind w:left="216" w:right="281"/>
        <w:jc w:val="both"/>
      </w:pPr>
      <w:r>
        <w:rPr>
          <w:b/>
        </w:rPr>
        <w:t xml:space="preserve">MADDE 20 </w:t>
      </w:r>
      <w:r>
        <w:t>– (1) Erasmus programı kapsamında gidecek öğrencinin reşit olmaması halinde, öğrencinin yurtdışına gidiş konusundaki vekaleti ailesindedir ve öğrenci ancak ailesinin izniyle programdan faydalanab</w:t>
      </w:r>
      <w:r>
        <w:t>ilir.</w:t>
      </w:r>
    </w:p>
    <w:p w14:paraId="2E798E84" w14:textId="77777777" w:rsidR="008E059F" w:rsidRDefault="008E059F">
      <w:pPr>
        <w:pStyle w:val="GvdeMetni"/>
        <w:rPr>
          <w:sz w:val="17"/>
        </w:rPr>
      </w:pPr>
    </w:p>
    <w:p w14:paraId="085D2630" w14:textId="77777777" w:rsidR="008E059F" w:rsidRDefault="00EA339B">
      <w:pPr>
        <w:pStyle w:val="GvdeMetni"/>
        <w:spacing w:line="276" w:lineRule="auto"/>
        <w:ind w:left="216" w:right="275"/>
        <w:jc w:val="both"/>
      </w:pPr>
      <w:r>
        <w:t xml:space="preserve">(2) Karşı kurumda bulunduğu süre içerisinde, karşı kurum tarafından belgelendirilmesi koşuluyla, öğrencinin uyması gereken hususlara uymayan, yasaklanan işleri yapan veya öğrencilik sıfat, şeref ve haysiyeti ile bağdaşmayan hal ve harekette bulunan </w:t>
      </w:r>
      <w:r>
        <w:t>öğrencilere, 13.01.1985 tarih ve 18634 sayılı Resmi Gazetede yayınlanan Yükseköğretim Kurumları Öğrenci Disiplin Yönetmeliği hükümleri uygulanır. Öğrenciye verilen hibenin kesilmesi ya da geri alınması konusunda değerlendirme ve karar yetkisi Erasmus Kurul</w:t>
      </w:r>
      <w:r>
        <w:t>u’ndadır.</w:t>
      </w:r>
    </w:p>
    <w:p w14:paraId="788EB6CE" w14:textId="77777777" w:rsidR="008E059F" w:rsidRDefault="008E059F">
      <w:pPr>
        <w:pStyle w:val="GvdeMetni"/>
        <w:spacing w:before="3"/>
        <w:rPr>
          <w:sz w:val="17"/>
        </w:rPr>
      </w:pPr>
    </w:p>
    <w:p w14:paraId="160805F5" w14:textId="77777777" w:rsidR="008E059F" w:rsidRDefault="00EA339B">
      <w:pPr>
        <w:pStyle w:val="Balk1"/>
      </w:pPr>
      <w:r>
        <w:t>Personellerin hareketlilik faaliyetlerinden yararlanma koşulları:</w:t>
      </w:r>
    </w:p>
    <w:p w14:paraId="4CD94B10" w14:textId="77777777" w:rsidR="008E059F" w:rsidRDefault="008E059F">
      <w:pPr>
        <w:pStyle w:val="GvdeMetni"/>
        <w:spacing w:before="11"/>
        <w:rPr>
          <w:b/>
          <w:sz w:val="19"/>
        </w:rPr>
      </w:pPr>
    </w:p>
    <w:p w14:paraId="47219475" w14:textId="77777777" w:rsidR="008E059F" w:rsidRDefault="00EA339B">
      <w:pPr>
        <w:pStyle w:val="GvdeMetni"/>
        <w:spacing w:line="276" w:lineRule="auto"/>
        <w:ind w:left="216" w:right="277"/>
        <w:jc w:val="both"/>
      </w:pPr>
      <w:r>
        <w:rPr>
          <w:b/>
        </w:rPr>
        <w:t xml:space="preserve">MADDE 21 </w:t>
      </w:r>
      <w:r>
        <w:t xml:space="preserve">- Erasmus Personel Hareketliliği faaliyetinden yararlanmak üzere seçilecek öğretim üyeleri/elemanlarının belirlenmesinde öncelik daha önce programdan yararlanmayanlara verilmektedir. Bu amaçla, başvuru sahibi personeller daha önce programdan yararlananlar </w:t>
      </w:r>
      <w:r>
        <w:t>ve daha önce programdan hiç yararlanmamış olanlar olmak üzere 2 ayrı listede sıralanır.</w:t>
      </w:r>
    </w:p>
    <w:p w14:paraId="6E4918B4" w14:textId="77777777" w:rsidR="008E059F" w:rsidRDefault="008E059F">
      <w:pPr>
        <w:pStyle w:val="GvdeMetni"/>
        <w:spacing w:before="1"/>
        <w:rPr>
          <w:sz w:val="17"/>
        </w:rPr>
      </w:pPr>
    </w:p>
    <w:p w14:paraId="0545A72F" w14:textId="77777777" w:rsidR="008E059F" w:rsidRDefault="00EA339B">
      <w:pPr>
        <w:pStyle w:val="GvdeMetni"/>
        <w:spacing w:line="276" w:lineRule="auto"/>
        <w:ind w:left="216" w:right="275"/>
        <w:jc w:val="both"/>
      </w:pPr>
      <w:r>
        <w:rPr>
          <w:b/>
        </w:rPr>
        <w:t xml:space="preserve">MADDE 22 </w:t>
      </w:r>
      <w:r>
        <w:t xml:space="preserve">- Ders Verme Hareketliliği hibesinin fakülteler/yüksekokullar/bölümler/programlar arasında dengeli dağılımının sağlanması amacıyla, "daha önce programdan hiç </w:t>
      </w:r>
      <w:r>
        <w:t>yararlanmamış olanlar" listesinden başlamak üzere, o yılki Erasmus Personel Hareketliliği bütçesinin yettiği ölçüde, her bölüm/program/konu alanından öncelikle 1'er personel programdan yararlanmak üzere seçilir.</w:t>
      </w:r>
    </w:p>
    <w:p w14:paraId="5C2B57DE" w14:textId="77777777" w:rsidR="008E059F" w:rsidRDefault="008E059F">
      <w:pPr>
        <w:pStyle w:val="GvdeMetni"/>
        <w:spacing w:before="1"/>
        <w:rPr>
          <w:sz w:val="17"/>
        </w:rPr>
      </w:pPr>
    </w:p>
    <w:p w14:paraId="05D6B66B" w14:textId="77777777" w:rsidR="008E059F" w:rsidRDefault="00EA339B">
      <w:pPr>
        <w:pStyle w:val="GvdeMetni"/>
        <w:spacing w:line="276" w:lineRule="auto"/>
        <w:ind w:left="216" w:right="278"/>
        <w:jc w:val="both"/>
      </w:pPr>
      <w:r>
        <w:rPr>
          <w:b/>
        </w:rPr>
        <w:t xml:space="preserve">MADDE 23 </w:t>
      </w:r>
      <w:r>
        <w:t>- Başvurular arasından daha önce p</w:t>
      </w:r>
      <w:r>
        <w:t>rogramdan hiç yararlanmamış öğretim üyeleri/elemanları tamamlandığı halde hibe bütçesinde artma olması durumunda, "daha önce programdan yararlananlar" listesine geçilecektir.</w:t>
      </w:r>
    </w:p>
    <w:p w14:paraId="1920E763" w14:textId="77777777" w:rsidR="008E059F" w:rsidRDefault="008E059F">
      <w:pPr>
        <w:pStyle w:val="GvdeMetni"/>
        <w:spacing w:before="1"/>
        <w:rPr>
          <w:sz w:val="17"/>
        </w:rPr>
      </w:pPr>
    </w:p>
    <w:p w14:paraId="1E598381" w14:textId="77777777" w:rsidR="008E059F" w:rsidRDefault="00EA339B">
      <w:pPr>
        <w:pStyle w:val="GvdeMetni"/>
        <w:spacing w:line="276" w:lineRule="auto"/>
        <w:ind w:left="216" w:right="275"/>
        <w:jc w:val="both"/>
      </w:pPr>
      <w:r>
        <w:rPr>
          <w:b/>
        </w:rPr>
        <w:t xml:space="preserve">MADDE 24 - </w:t>
      </w:r>
      <w:r>
        <w:t xml:space="preserve">(Değişik Senato 27.12.2016 - 2016/09-26.) Listeler içindeki sıralama </w:t>
      </w:r>
      <w:r>
        <w:t>oluşturulurken aşağıda verilen puanlandırma kriterleri kullanılacaktır.</w:t>
      </w:r>
    </w:p>
    <w:p w14:paraId="6B16AABA" w14:textId="77777777" w:rsidR="008E059F" w:rsidRDefault="008E059F">
      <w:pPr>
        <w:pStyle w:val="GvdeMetni"/>
        <w:rPr>
          <w:sz w:val="17"/>
        </w:rPr>
      </w:pPr>
    </w:p>
    <w:p w14:paraId="5FA08A9E" w14:textId="77777777" w:rsidR="008E059F" w:rsidRDefault="00EA339B">
      <w:pPr>
        <w:ind w:left="216"/>
        <w:rPr>
          <w:i/>
          <w:sz w:val="20"/>
        </w:rPr>
      </w:pPr>
      <w:r>
        <w:rPr>
          <w:i/>
          <w:sz w:val="20"/>
        </w:rPr>
        <w:t>Ders Verme Hareketliliği Puanlandırma Kriterleri:</w:t>
      </w:r>
    </w:p>
    <w:p w14:paraId="2CF2C2B7" w14:textId="77777777" w:rsidR="008E059F" w:rsidRDefault="008E059F">
      <w:pPr>
        <w:pStyle w:val="GvdeMetni"/>
        <w:spacing w:before="2"/>
        <w:rPr>
          <w:i/>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4"/>
        <w:gridCol w:w="5015"/>
      </w:tblGrid>
      <w:tr w:rsidR="008E059F" w14:paraId="05C3B6D0" w14:textId="77777777">
        <w:trPr>
          <w:trHeight w:val="477"/>
        </w:trPr>
        <w:tc>
          <w:tcPr>
            <w:tcW w:w="4314" w:type="dxa"/>
          </w:tcPr>
          <w:p w14:paraId="7824AEDC" w14:textId="77777777" w:rsidR="008E059F" w:rsidRDefault="00EA339B">
            <w:pPr>
              <w:pStyle w:val="TableParagraph"/>
              <w:spacing w:before="0" w:line="234" w:lineRule="exact"/>
              <w:ind w:left="108"/>
              <w:rPr>
                <w:sz w:val="20"/>
              </w:rPr>
            </w:pPr>
            <w:r>
              <w:rPr>
                <w:sz w:val="20"/>
              </w:rPr>
              <w:t>Taban Puan</w:t>
            </w:r>
          </w:p>
        </w:tc>
        <w:tc>
          <w:tcPr>
            <w:tcW w:w="5015" w:type="dxa"/>
          </w:tcPr>
          <w:p w14:paraId="32551998" w14:textId="77777777" w:rsidR="008E059F" w:rsidRDefault="00EA339B">
            <w:pPr>
              <w:pStyle w:val="TableParagraph"/>
              <w:spacing w:before="0" w:line="234" w:lineRule="exact"/>
              <w:ind w:left="110"/>
              <w:rPr>
                <w:sz w:val="20"/>
              </w:rPr>
            </w:pPr>
            <w:r>
              <w:rPr>
                <w:sz w:val="20"/>
              </w:rPr>
              <w:t>20</w:t>
            </w:r>
          </w:p>
        </w:tc>
      </w:tr>
    </w:tbl>
    <w:p w14:paraId="4048EDD4" w14:textId="77777777" w:rsidR="008E059F" w:rsidRDefault="008E059F">
      <w:pPr>
        <w:spacing w:line="234" w:lineRule="exact"/>
        <w:rPr>
          <w:sz w:val="20"/>
        </w:rPr>
        <w:sectPr w:rsidR="008E059F">
          <w:pgSz w:w="11910" w:h="16840"/>
          <w:pgMar w:top="1320" w:right="860" w:bottom="280" w:left="1200" w:header="749" w:footer="0" w:gutter="0"/>
          <w:cols w:space="708"/>
        </w:sectPr>
      </w:pPr>
    </w:p>
    <w:p w14:paraId="48D8B48F" w14:textId="77777777" w:rsidR="008E059F" w:rsidRDefault="008E059F">
      <w:pPr>
        <w:pStyle w:val="GvdeMetni"/>
        <w:spacing w:before="7"/>
        <w:rPr>
          <w:i/>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4"/>
        <w:gridCol w:w="5015"/>
      </w:tblGrid>
      <w:tr w:rsidR="008E059F" w14:paraId="18768142" w14:textId="77777777">
        <w:trPr>
          <w:trHeight w:val="1173"/>
        </w:trPr>
        <w:tc>
          <w:tcPr>
            <w:tcW w:w="4314" w:type="dxa"/>
          </w:tcPr>
          <w:p w14:paraId="3C93A3EC" w14:textId="77777777" w:rsidR="008E059F" w:rsidRDefault="00EA339B">
            <w:pPr>
              <w:pStyle w:val="TableParagraph"/>
              <w:spacing w:before="1"/>
              <w:ind w:left="108"/>
              <w:rPr>
                <w:sz w:val="20"/>
              </w:rPr>
            </w:pPr>
            <w:r>
              <w:rPr>
                <w:sz w:val="20"/>
              </w:rPr>
              <w:t>ÜDS/KPDS/YDS Yabancı Dil Sınavı Puanının yüzde 20’si</w:t>
            </w:r>
          </w:p>
        </w:tc>
        <w:tc>
          <w:tcPr>
            <w:tcW w:w="5015" w:type="dxa"/>
          </w:tcPr>
          <w:p w14:paraId="070463A3" w14:textId="77777777" w:rsidR="008E059F" w:rsidRDefault="00EA339B">
            <w:pPr>
              <w:pStyle w:val="TableParagraph"/>
              <w:spacing w:before="1"/>
              <w:ind w:left="110" w:right="95"/>
              <w:jc w:val="both"/>
              <w:rPr>
                <w:sz w:val="20"/>
              </w:rPr>
            </w:pPr>
            <w:r>
              <w:rPr>
                <w:sz w:val="20"/>
              </w:rPr>
              <w:t>ÜDS/KPDS/YDS Puanının %20'si taban puana eklenir. (Personel ÜDS/KPDS/YDS sonuç puanına ilişkin belgesini sunmamışsa yabancı dil puanı 50 olarak kabul edilir ve bunun %20'si olan 10 puan taban puana</w:t>
            </w:r>
          </w:p>
          <w:p w14:paraId="4E6F21F5" w14:textId="77777777" w:rsidR="008E059F" w:rsidRDefault="00EA339B">
            <w:pPr>
              <w:pStyle w:val="TableParagraph"/>
              <w:spacing w:before="0" w:line="214" w:lineRule="exact"/>
              <w:ind w:left="110"/>
              <w:rPr>
                <w:sz w:val="20"/>
              </w:rPr>
            </w:pPr>
            <w:r>
              <w:rPr>
                <w:sz w:val="20"/>
              </w:rPr>
              <w:t>eklen</w:t>
            </w:r>
            <w:r>
              <w:rPr>
                <w:sz w:val="20"/>
              </w:rPr>
              <w:t>ir.)</w:t>
            </w:r>
          </w:p>
        </w:tc>
      </w:tr>
      <w:tr w:rsidR="008E059F" w14:paraId="59A2AE0D" w14:textId="77777777">
        <w:trPr>
          <w:trHeight w:val="3283"/>
        </w:trPr>
        <w:tc>
          <w:tcPr>
            <w:tcW w:w="4314" w:type="dxa"/>
          </w:tcPr>
          <w:p w14:paraId="15497EDF" w14:textId="77777777" w:rsidR="008E059F" w:rsidRDefault="00EA339B">
            <w:pPr>
              <w:pStyle w:val="TableParagraph"/>
              <w:tabs>
                <w:tab w:val="left" w:pos="923"/>
                <w:tab w:val="left" w:pos="2935"/>
                <w:tab w:val="left" w:pos="3721"/>
              </w:tabs>
              <w:spacing w:before="0"/>
              <w:ind w:left="108" w:right="100"/>
              <w:rPr>
                <w:sz w:val="20"/>
              </w:rPr>
            </w:pPr>
            <w:r>
              <w:rPr>
                <w:sz w:val="20"/>
              </w:rPr>
              <w:t>Bölüm</w:t>
            </w:r>
            <w:r>
              <w:rPr>
                <w:sz w:val="20"/>
              </w:rPr>
              <w:tab/>
              <w:t>koordinatörlerinden</w:t>
            </w:r>
            <w:r>
              <w:rPr>
                <w:sz w:val="20"/>
              </w:rPr>
              <w:tab/>
              <w:t>alınan</w:t>
            </w:r>
            <w:r>
              <w:rPr>
                <w:sz w:val="20"/>
              </w:rPr>
              <w:tab/>
            </w:r>
            <w:r>
              <w:rPr>
                <w:spacing w:val="-4"/>
                <w:sz w:val="20"/>
              </w:rPr>
              <w:t xml:space="preserve">Talep </w:t>
            </w:r>
            <w:r>
              <w:rPr>
                <w:sz w:val="20"/>
              </w:rPr>
              <w:t>Listesindeki</w:t>
            </w:r>
            <w:r>
              <w:rPr>
                <w:spacing w:val="-2"/>
                <w:sz w:val="20"/>
              </w:rPr>
              <w:t xml:space="preserve"> </w:t>
            </w:r>
            <w:r>
              <w:rPr>
                <w:sz w:val="20"/>
              </w:rPr>
              <w:t>sıra</w:t>
            </w:r>
          </w:p>
        </w:tc>
        <w:tc>
          <w:tcPr>
            <w:tcW w:w="5015" w:type="dxa"/>
          </w:tcPr>
          <w:p w14:paraId="3F94E5D6" w14:textId="77777777" w:rsidR="008E059F" w:rsidRDefault="00EA339B">
            <w:pPr>
              <w:pStyle w:val="TableParagraph"/>
              <w:spacing w:before="0"/>
              <w:ind w:left="110" w:right="96"/>
              <w:jc w:val="both"/>
              <w:rPr>
                <w:sz w:val="20"/>
              </w:rPr>
            </w:pPr>
            <w:r>
              <w:rPr>
                <w:sz w:val="20"/>
              </w:rPr>
              <w:t>En fazla sayıda başvurusu olan bölüme ait talep listesindeki başvuru sayısı, tüm bölümlere ait listelerde birinci sıradaki personele verilen puan olarak kabul edilir. Listelerde aşağı sıralara doğru inildikçe 1'er puan azaltılarak taban puana eklenir. Örne</w:t>
            </w:r>
            <w:r>
              <w:rPr>
                <w:sz w:val="20"/>
              </w:rPr>
              <w:t>ğin, en fazla sayıda başvurusu olan bölümden 8 personel başvurusu mevcut ise, tüm bölümlerin talep listelerinde birinci sırada ismi yazan personele 8 puan verilir. İkinci sıradan itibaren aşağı sıralara doğru 7,6,5,... şeklinde puan verilir. Ya da örneğin,</w:t>
            </w:r>
            <w:r>
              <w:rPr>
                <w:sz w:val="20"/>
              </w:rPr>
              <w:t xml:space="preserve"> en fazla sayıda başvurusu olan bölümden 5 personel başvuruda bulunmuş ise, tüm bölümlerin talep listelerinde birinci sıradaki personele 5 puan verilir;</w:t>
            </w:r>
          </w:p>
          <w:p w14:paraId="4E421EC1" w14:textId="77777777" w:rsidR="008E059F" w:rsidRDefault="00EA339B">
            <w:pPr>
              <w:pStyle w:val="TableParagraph"/>
              <w:spacing w:before="3" w:line="234" w:lineRule="exact"/>
              <w:ind w:left="110" w:right="99"/>
              <w:jc w:val="both"/>
              <w:rPr>
                <w:sz w:val="20"/>
              </w:rPr>
            </w:pPr>
            <w:r>
              <w:rPr>
                <w:sz w:val="20"/>
              </w:rPr>
              <w:t>ikinci sıradan itibaren aşağı sıralara doğru 4, 3, 2, 1 şeklinde puan verilir.</w:t>
            </w:r>
          </w:p>
        </w:tc>
      </w:tr>
      <w:tr w:rsidR="008E059F" w14:paraId="53696B3B" w14:textId="77777777">
        <w:trPr>
          <w:trHeight w:val="1875"/>
        </w:trPr>
        <w:tc>
          <w:tcPr>
            <w:tcW w:w="4314" w:type="dxa"/>
          </w:tcPr>
          <w:p w14:paraId="50FBFDB1" w14:textId="77777777" w:rsidR="008E059F" w:rsidRDefault="00EA339B">
            <w:pPr>
              <w:pStyle w:val="TableParagraph"/>
              <w:spacing w:before="0"/>
              <w:ind w:left="108"/>
              <w:rPr>
                <w:sz w:val="20"/>
              </w:rPr>
            </w:pPr>
            <w:r>
              <w:rPr>
                <w:sz w:val="20"/>
              </w:rPr>
              <w:t>Daha önce ders verme faaliyetlerinde yer almayan kurumun tercih edilmesi</w:t>
            </w:r>
          </w:p>
        </w:tc>
        <w:tc>
          <w:tcPr>
            <w:tcW w:w="5015" w:type="dxa"/>
          </w:tcPr>
          <w:p w14:paraId="6E404863" w14:textId="77777777" w:rsidR="008E059F" w:rsidRDefault="00EA339B">
            <w:pPr>
              <w:pStyle w:val="TableParagraph"/>
              <w:spacing w:before="0"/>
              <w:ind w:left="110" w:right="97"/>
              <w:jc w:val="both"/>
              <w:rPr>
                <w:sz w:val="20"/>
              </w:rPr>
            </w:pPr>
            <w:r>
              <w:rPr>
                <w:sz w:val="20"/>
              </w:rPr>
              <w:t>Başvurular alındıktan sonra, online başvuru formları incelenerek başvuru sahipleri tarafından kaç farklı yurtdışı kurumun tercih edildiği belirlenir. Bu kurumlardan, önceki yıllarda e</w:t>
            </w:r>
            <w:r>
              <w:rPr>
                <w:sz w:val="20"/>
              </w:rPr>
              <w:t>n fazla sayıda gidilmiş olanı tercih eden personellere 1 puan verilir. Önceki yıllarda daha az gidilmiş olan kurumları tercih eden</w:t>
            </w:r>
          </w:p>
          <w:p w14:paraId="3325FD0B" w14:textId="77777777" w:rsidR="008E059F" w:rsidRDefault="00EA339B">
            <w:pPr>
              <w:pStyle w:val="TableParagraph"/>
              <w:spacing w:before="0" w:line="236" w:lineRule="exact"/>
              <w:ind w:left="110" w:right="103"/>
              <w:jc w:val="both"/>
              <w:rPr>
                <w:sz w:val="20"/>
              </w:rPr>
            </w:pPr>
            <w:r>
              <w:rPr>
                <w:sz w:val="20"/>
              </w:rPr>
              <w:t>personellere, kurumun daha önce gidilmişlik sayısına göre 1'er puan arttırarak puan verilir.</w:t>
            </w:r>
          </w:p>
        </w:tc>
      </w:tr>
      <w:tr w:rsidR="008E059F" w14:paraId="0C6BEB38" w14:textId="77777777">
        <w:trPr>
          <w:trHeight w:val="1870"/>
        </w:trPr>
        <w:tc>
          <w:tcPr>
            <w:tcW w:w="4314" w:type="dxa"/>
          </w:tcPr>
          <w:p w14:paraId="0E43A747" w14:textId="77777777" w:rsidR="008E059F" w:rsidRDefault="00EA339B">
            <w:pPr>
              <w:pStyle w:val="TableParagraph"/>
              <w:spacing w:before="0"/>
              <w:ind w:left="108"/>
              <w:rPr>
                <w:sz w:val="20"/>
              </w:rPr>
            </w:pPr>
            <w:r>
              <w:rPr>
                <w:sz w:val="20"/>
              </w:rPr>
              <w:t>Daha önce ders verme faaliyetle</w:t>
            </w:r>
            <w:r>
              <w:rPr>
                <w:sz w:val="20"/>
              </w:rPr>
              <w:t>rinde yer almayan ülkenin tercih edilmesi</w:t>
            </w:r>
          </w:p>
        </w:tc>
        <w:tc>
          <w:tcPr>
            <w:tcW w:w="5015" w:type="dxa"/>
          </w:tcPr>
          <w:p w14:paraId="54751766" w14:textId="77777777" w:rsidR="008E059F" w:rsidRDefault="00EA339B">
            <w:pPr>
              <w:pStyle w:val="TableParagraph"/>
              <w:spacing w:before="0"/>
              <w:ind w:left="110" w:right="97"/>
              <w:jc w:val="both"/>
              <w:rPr>
                <w:sz w:val="20"/>
              </w:rPr>
            </w:pPr>
            <w:r>
              <w:rPr>
                <w:sz w:val="20"/>
              </w:rPr>
              <w:t>Başvurular alındıktan sonra, online başvuru formları incelenerek başvuru sahipleri tarafından kaç farklı ülke tercih edildiği belirlenir. Bu ülkelerden, önceki yıllarda en fazla sayıda gidilmiş olanı tercih eden pe</w:t>
            </w:r>
            <w:r>
              <w:rPr>
                <w:sz w:val="20"/>
              </w:rPr>
              <w:t>rsonellere 1 puan verilir. Önceki yıllarda daha az gidilmiş olan ülkeleri tercih eden personellere, ülkenin daha önce gidilmişlik sayısına göre 1'er puan arttırarak puan</w:t>
            </w:r>
          </w:p>
          <w:p w14:paraId="2B0F7E45" w14:textId="77777777" w:rsidR="008E059F" w:rsidRDefault="00EA339B">
            <w:pPr>
              <w:pStyle w:val="TableParagraph"/>
              <w:spacing w:before="0" w:line="213" w:lineRule="exact"/>
              <w:ind w:left="110"/>
              <w:rPr>
                <w:sz w:val="20"/>
              </w:rPr>
            </w:pPr>
            <w:r>
              <w:rPr>
                <w:sz w:val="20"/>
              </w:rPr>
              <w:t>verilir.</w:t>
            </w:r>
          </w:p>
        </w:tc>
      </w:tr>
      <w:tr w:rsidR="008E059F" w14:paraId="3BCCFC8B" w14:textId="77777777">
        <w:trPr>
          <w:trHeight w:val="705"/>
        </w:trPr>
        <w:tc>
          <w:tcPr>
            <w:tcW w:w="4314" w:type="dxa"/>
          </w:tcPr>
          <w:p w14:paraId="232B8821" w14:textId="77777777" w:rsidR="008E059F" w:rsidRDefault="00EA339B">
            <w:pPr>
              <w:pStyle w:val="TableParagraph"/>
              <w:tabs>
                <w:tab w:val="left" w:pos="842"/>
                <w:tab w:val="left" w:pos="1537"/>
                <w:tab w:val="left" w:pos="2900"/>
              </w:tabs>
              <w:spacing w:before="1"/>
              <w:ind w:left="108" w:right="100"/>
              <w:rPr>
                <w:sz w:val="20"/>
              </w:rPr>
            </w:pPr>
            <w:r>
              <w:rPr>
                <w:sz w:val="20"/>
              </w:rPr>
              <w:t>Daha</w:t>
            </w:r>
            <w:r>
              <w:rPr>
                <w:sz w:val="20"/>
              </w:rPr>
              <w:tab/>
              <w:t>önce</w:t>
            </w:r>
            <w:r>
              <w:rPr>
                <w:sz w:val="20"/>
              </w:rPr>
              <w:tab/>
              <w:t>programdan</w:t>
            </w:r>
            <w:r>
              <w:rPr>
                <w:sz w:val="20"/>
              </w:rPr>
              <w:tab/>
            </w:r>
            <w:r>
              <w:rPr>
                <w:w w:val="95"/>
                <w:sz w:val="20"/>
              </w:rPr>
              <w:t xml:space="preserve">faydalanmamış </w:t>
            </w:r>
            <w:r>
              <w:rPr>
                <w:sz w:val="20"/>
              </w:rPr>
              <w:t>Erasmus bölüm</w:t>
            </w:r>
            <w:r>
              <w:rPr>
                <w:spacing w:val="-1"/>
                <w:sz w:val="20"/>
              </w:rPr>
              <w:t xml:space="preserve"> </w:t>
            </w:r>
            <w:r>
              <w:rPr>
                <w:sz w:val="20"/>
              </w:rPr>
              <w:t>koordinatörü</w:t>
            </w:r>
          </w:p>
        </w:tc>
        <w:tc>
          <w:tcPr>
            <w:tcW w:w="5015" w:type="dxa"/>
          </w:tcPr>
          <w:p w14:paraId="58122A16" w14:textId="77777777" w:rsidR="008E059F" w:rsidRDefault="00EA339B">
            <w:pPr>
              <w:pStyle w:val="TableParagraph"/>
              <w:spacing w:before="1"/>
              <w:ind w:left="110" w:right="84"/>
              <w:rPr>
                <w:sz w:val="20"/>
              </w:rPr>
            </w:pPr>
            <w:r>
              <w:rPr>
                <w:sz w:val="20"/>
              </w:rPr>
              <w:t>Daha önce programdan hiç yararlanmamış olan başvuru sahipleri arasında Erasmus koordinatörü olanlara 3</w:t>
            </w:r>
          </w:p>
          <w:p w14:paraId="4BE56E80" w14:textId="77777777" w:rsidR="008E059F" w:rsidRDefault="00EA339B">
            <w:pPr>
              <w:pStyle w:val="TableParagraph"/>
              <w:spacing w:before="0" w:line="214" w:lineRule="exact"/>
              <w:ind w:left="110"/>
              <w:rPr>
                <w:sz w:val="20"/>
              </w:rPr>
            </w:pPr>
            <w:r>
              <w:rPr>
                <w:sz w:val="20"/>
              </w:rPr>
              <w:t>puan eklenir.</w:t>
            </w:r>
          </w:p>
        </w:tc>
      </w:tr>
      <w:tr w:rsidR="008E059F" w14:paraId="6C50C3DE" w14:textId="77777777">
        <w:trPr>
          <w:trHeight w:val="1641"/>
        </w:trPr>
        <w:tc>
          <w:tcPr>
            <w:tcW w:w="4314" w:type="dxa"/>
          </w:tcPr>
          <w:p w14:paraId="42012462" w14:textId="77777777" w:rsidR="008E059F" w:rsidRDefault="00EA339B">
            <w:pPr>
              <w:pStyle w:val="TableParagraph"/>
              <w:spacing w:before="0" w:line="234" w:lineRule="exact"/>
              <w:ind w:left="108"/>
              <w:rPr>
                <w:sz w:val="20"/>
              </w:rPr>
            </w:pPr>
            <w:r>
              <w:rPr>
                <w:sz w:val="20"/>
              </w:rPr>
              <w:t>Mağduriyet</w:t>
            </w:r>
          </w:p>
        </w:tc>
        <w:tc>
          <w:tcPr>
            <w:tcW w:w="5015" w:type="dxa"/>
          </w:tcPr>
          <w:p w14:paraId="40DD8CCF" w14:textId="77777777" w:rsidR="008E059F" w:rsidRDefault="00EA339B">
            <w:pPr>
              <w:pStyle w:val="TableParagraph"/>
              <w:spacing w:before="0"/>
              <w:ind w:left="110" w:right="98"/>
              <w:jc w:val="both"/>
              <w:rPr>
                <w:sz w:val="20"/>
              </w:rPr>
            </w:pPr>
            <w:r>
              <w:rPr>
                <w:sz w:val="20"/>
              </w:rPr>
              <w:t>Bir önceki yıl programa başvuru yaparak seçilen ve tüm işlemlerini gerçekleştirmekle birlikte, sağlık sorunları, gidilecek kurumdan yanıt alamama ve Ulusal Ajansa bağlı hibe ödemesi gecikmeleri gibi zorunlu nedenlerle programdan yararlanamamış olan başvuru</w:t>
            </w:r>
            <w:r>
              <w:rPr>
                <w:sz w:val="20"/>
              </w:rPr>
              <w:t xml:space="preserve"> sahiplerine</w:t>
            </w:r>
          </w:p>
          <w:p w14:paraId="0E6FA670" w14:textId="77777777" w:rsidR="008E059F" w:rsidRDefault="00EA339B">
            <w:pPr>
              <w:pStyle w:val="TableParagraph"/>
              <w:spacing w:before="0" w:line="236" w:lineRule="exact"/>
              <w:ind w:left="110" w:right="100"/>
              <w:jc w:val="both"/>
              <w:rPr>
                <w:sz w:val="20"/>
              </w:rPr>
            </w:pPr>
            <w:r>
              <w:rPr>
                <w:sz w:val="20"/>
              </w:rPr>
              <w:t>10 puan eklenir. (Personelin daha önce dilekçe ile bilgilendirme yapmış olması gerekmektedir)</w:t>
            </w:r>
          </w:p>
        </w:tc>
      </w:tr>
      <w:tr w:rsidR="008E059F" w14:paraId="09A949B9" w14:textId="77777777">
        <w:trPr>
          <w:trHeight w:val="934"/>
        </w:trPr>
        <w:tc>
          <w:tcPr>
            <w:tcW w:w="4314" w:type="dxa"/>
          </w:tcPr>
          <w:p w14:paraId="717709CA" w14:textId="77777777" w:rsidR="008E059F" w:rsidRDefault="00EA339B">
            <w:pPr>
              <w:pStyle w:val="TableParagraph"/>
              <w:spacing w:before="0" w:line="231" w:lineRule="exact"/>
              <w:ind w:left="108"/>
              <w:rPr>
                <w:sz w:val="20"/>
              </w:rPr>
            </w:pPr>
            <w:r>
              <w:rPr>
                <w:sz w:val="20"/>
              </w:rPr>
              <w:t>Gerekçesiz vazgeçme</w:t>
            </w:r>
          </w:p>
        </w:tc>
        <w:tc>
          <w:tcPr>
            <w:tcW w:w="5015" w:type="dxa"/>
          </w:tcPr>
          <w:p w14:paraId="7EBF8B2E" w14:textId="77777777" w:rsidR="008E059F" w:rsidRDefault="00EA339B">
            <w:pPr>
              <w:pStyle w:val="TableParagraph"/>
              <w:spacing w:before="0"/>
              <w:ind w:left="110" w:right="98"/>
              <w:jc w:val="both"/>
              <w:rPr>
                <w:sz w:val="20"/>
              </w:rPr>
            </w:pPr>
            <w:r>
              <w:rPr>
                <w:sz w:val="20"/>
              </w:rPr>
              <w:t>Bir önceki yıl gitmeye hak kazandığı halde, yukarıda belirtilen nedenler dışında gerekçe göstermeksizin gitmekten vazgeçen başvu</w:t>
            </w:r>
            <w:r>
              <w:rPr>
                <w:sz w:val="20"/>
              </w:rPr>
              <w:t>ru sahiplerinden 20 puan</w:t>
            </w:r>
          </w:p>
          <w:p w14:paraId="154B6D35" w14:textId="77777777" w:rsidR="008E059F" w:rsidRDefault="00EA339B">
            <w:pPr>
              <w:pStyle w:val="TableParagraph"/>
              <w:spacing w:before="0" w:line="215" w:lineRule="exact"/>
              <w:ind w:left="110"/>
              <w:rPr>
                <w:sz w:val="20"/>
              </w:rPr>
            </w:pPr>
            <w:r>
              <w:rPr>
                <w:sz w:val="20"/>
              </w:rPr>
              <w:t>çıkarılır.</w:t>
            </w:r>
          </w:p>
        </w:tc>
      </w:tr>
      <w:tr w:rsidR="008E059F" w14:paraId="7388A8B1" w14:textId="77777777">
        <w:trPr>
          <w:trHeight w:val="477"/>
        </w:trPr>
        <w:tc>
          <w:tcPr>
            <w:tcW w:w="4314" w:type="dxa"/>
          </w:tcPr>
          <w:p w14:paraId="3E7DEBEA" w14:textId="77777777" w:rsidR="008E059F" w:rsidRDefault="00EA339B">
            <w:pPr>
              <w:pStyle w:val="TableParagraph"/>
              <w:spacing w:before="0" w:line="234" w:lineRule="exact"/>
              <w:ind w:left="108"/>
              <w:rPr>
                <w:sz w:val="20"/>
              </w:rPr>
            </w:pPr>
            <w:r>
              <w:rPr>
                <w:sz w:val="20"/>
              </w:rPr>
              <w:t>Bir önceki yıl programdan faydalanmış olmak</w:t>
            </w:r>
          </w:p>
        </w:tc>
        <w:tc>
          <w:tcPr>
            <w:tcW w:w="5015" w:type="dxa"/>
          </w:tcPr>
          <w:p w14:paraId="7FD04233" w14:textId="77777777" w:rsidR="008E059F" w:rsidRDefault="00EA339B">
            <w:pPr>
              <w:pStyle w:val="TableParagraph"/>
              <w:spacing w:before="0" w:line="234" w:lineRule="exact"/>
              <w:ind w:left="110"/>
              <w:rPr>
                <w:sz w:val="20"/>
              </w:rPr>
            </w:pPr>
            <w:r>
              <w:rPr>
                <w:sz w:val="20"/>
              </w:rPr>
              <w:t>Toplam puandan 9 puan çıkarılır.</w:t>
            </w:r>
          </w:p>
        </w:tc>
      </w:tr>
      <w:tr w:rsidR="008E059F" w14:paraId="22A3F818" w14:textId="77777777">
        <w:trPr>
          <w:trHeight w:val="477"/>
        </w:trPr>
        <w:tc>
          <w:tcPr>
            <w:tcW w:w="4314" w:type="dxa"/>
          </w:tcPr>
          <w:p w14:paraId="5CBC8C67" w14:textId="77777777" w:rsidR="008E059F" w:rsidRDefault="00EA339B">
            <w:pPr>
              <w:pStyle w:val="TableParagraph"/>
              <w:spacing w:before="0" w:line="234" w:lineRule="exact"/>
              <w:ind w:left="108"/>
              <w:rPr>
                <w:sz w:val="20"/>
              </w:rPr>
            </w:pPr>
            <w:r>
              <w:rPr>
                <w:sz w:val="20"/>
              </w:rPr>
              <w:t>İki yıl önce programdan faydalanmış olmak</w:t>
            </w:r>
          </w:p>
        </w:tc>
        <w:tc>
          <w:tcPr>
            <w:tcW w:w="5015" w:type="dxa"/>
          </w:tcPr>
          <w:p w14:paraId="4863403B" w14:textId="77777777" w:rsidR="008E059F" w:rsidRDefault="00EA339B">
            <w:pPr>
              <w:pStyle w:val="TableParagraph"/>
              <w:spacing w:before="0" w:line="234" w:lineRule="exact"/>
              <w:ind w:left="110"/>
              <w:rPr>
                <w:sz w:val="20"/>
              </w:rPr>
            </w:pPr>
            <w:r>
              <w:rPr>
                <w:sz w:val="20"/>
              </w:rPr>
              <w:t>Toplam puandan 6 puan çıkarılır.</w:t>
            </w:r>
          </w:p>
        </w:tc>
      </w:tr>
      <w:tr w:rsidR="008E059F" w14:paraId="68B2246B" w14:textId="77777777">
        <w:trPr>
          <w:trHeight w:val="479"/>
        </w:trPr>
        <w:tc>
          <w:tcPr>
            <w:tcW w:w="4314" w:type="dxa"/>
          </w:tcPr>
          <w:p w14:paraId="07717056" w14:textId="77777777" w:rsidR="008E059F" w:rsidRDefault="00EA339B">
            <w:pPr>
              <w:pStyle w:val="TableParagraph"/>
              <w:spacing w:before="1"/>
              <w:ind w:left="108"/>
              <w:rPr>
                <w:sz w:val="20"/>
              </w:rPr>
            </w:pPr>
            <w:r>
              <w:rPr>
                <w:sz w:val="20"/>
              </w:rPr>
              <w:t>Üç yıl önce programdan faydalanmış olmak</w:t>
            </w:r>
          </w:p>
        </w:tc>
        <w:tc>
          <w:tcPr>
            <w:tcW w:w="5015" w:type="dxa"/>
          </w:tcPr>
          <w:p w14:paraId="25EF4EE3" w14:textId="77777777" w:rsidR="008E059F" w:rsidRDefault="00EA339B">
            <w:pPr>
              <w:pStyle w:val="TableParagraph"/>
              <w:spacing w:before="1"/>
              <w:ind w:left="110"/>
              <w:rPr>
                <w:sz w:val="20"/>
              </w:rPr>
            </w:pPr>
            <w:r>
              <w:rPr>
                <w:sz w:val="20"/>
              </w:rPr>
              <w:t>Toplam puandan 3 puan çıkarılır.</w:t>
            </w:r>
          </w:p>
        </w:tc>
      </w:tr>
      <w:tr w:rsidR="008E059F" w14:paraId="239CC624" w14:textId="77777777">
        <w:trPr>
          <w:trHeight w:val="477"/>
        </w:trPr>
        <w:tc>
          <w:tcPr>
            <w:tcW w:w="4314" w:type="dxa"/>
          </w:tcPr>
          <w:p w14:paraId="152C016E" w14:textId="77777777" w:rsidR="008E059F" w:rsidRDefault="00EA339B">
            <w:pPr>
              <w:pStyle w:val="TableParagraph"/>
              <w:spacing w:before="0" w:line="234" w:lineRule="exact"/>
              <w:ind w:left="108"/>
              <w:rPr>
                <w:sz w:val="20"/>
              </w:rPr>
            </w:pPr>
            <w:r>
              <w:rPr>
                <w:sz w:val="20"/>
              </w:rPr>
              <w:t>Daha önce programdan yararlanma sayısı</w:t>
            </w:r>
          </w:p>
        </w:tc>
        <w:tc>
          <w:tcPr>
            <w:tcW w:w="5015" w:type="dxa"/>
          </w:tcPr>
          <w:p w14:paraId="543F834B" w14:textId="77777777" w:rsidR="008E059F" w:rsidRDefault="00EA339B">
            <w:pPr>
              <w:pStyle w:val="TableParagraph"/>
              <w:spacing w:before="0" w:line="236" w:lineRule="exact"/>
              <w:ind w:left="110" w:right="84"/>
              <w:rPr>
                <w:sz w:val="20"/>
              </w:rPr>
            </w:pPr>
            <w:r>
              <w:rPr>
                <w:sz w:val="20"/>
              </w:rPr>
              <w:t>Daha önce programdan kaç kez yararlanılmış ise, o sayıda puan toplam puandan çıkarılır.</w:t>
            </w:r>
          </w:p>
        </w:tc>
      </w:tr>
    </w:tbl>
    <w:p w14:paraId="506A0A26" w14:textId="77777777" w:rsidR="008E059F" w:rsidRDefault="008E059F">
      <w:pPr>
        <w:spacing w:line="236" w:lineRule="exact"/>
        <w:rPr>
          <w:sz w:val="20"/>
        </w:rPr>
        <w:sectPr w:rsidR="008E059F">
          <w:pgSz w:w="11910" w:h="16840"/>
          <w:pgMar w:top="1320" w:right="860" w:bottom="280" w:left="1200" w:header="749" w:footer="0" w:gutter="0"/>
          <w:cols w:space="708"/>
        </w:sectPr>
      </w:pPr>
    </w:p>
    <w:p w14:paraId="0F14410E" w14:textId="77777777" w:rsidR="008E059F" w:rsidRDefault="008E059F">
      <w:pPr>
        <w:pStyle w:val="GvdeMetni"/>
        <w:spacing w:before="7"/>
        <w:rPr>
          <w:i/>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4"/>
        <w:gridCol w:w="5015"/>
      </w:tblGrid>
      <w:tr w:rsidR="008E059F" w14:paraId="4204D9FA" w14:textId="77777777">
        <w:trPr>
          <w:trHeight w:val="1641"/>
        </w:trPr>
        <w:tc>
          <w:tcPr>
            <w:tcW w:w="4314" w:type="dxa"/>
          </w:tcPr>
          <w:p w14:paraId="1710631F" w14:textId="77777777" w:rsidR="008E059F" w:rsidRDefault="00EA339B">
            <w:pPr>
              <w:pStyle w:val="TableParagraph"/>
              <w:tabs>
                <w:tab w:val="left" w:pos="3574"/>
              </w:tabs>
              <w:spacing w:before="1"/>
              <w:ind w:left="108" w:right="98"/>
              <w:jc w:val="both"/>
              <w:rPr>
                <w:sz w:val="20"/>
              </w:rPr>
            </w:pPr>
            <w:r>
              <w:rPr>
                <w:sz w:val="20"/>
              </w:rPr>
              <w:t>Daha önce programdan faydalanmamış fakülte/enstitü/yüksekokuldan</w:t>
            </w:r>
            <w:r>
              <w:rPr>
                <w:sz w:val="20"/>
              </w:rPr>
              <w:tab/>
            </w:r>
            <w:r>
              <w:rPr>
                <w:spacing w:val="-3"/>
                <w:sz w:val="20"/>
              </w:rPr>
              <w:t xml:space="preserve">yapılan </w:t>
            </w:r>
            <w:r>
              <w:rPr>
                <w:sz w:val="20"/>
              </w:rPr>
              <w:t>başvuru</w:t>
            </w:r>
          </w:p>
        </w:tc>
        <w:tc>
          <w:tcPr>
            <w:tcW w:w="5015" w:type="dxa"/>
          </w:tcPr>
          <w:p w14:paraId="6AB7561B" w14:textId="77777777" w:rsidR="008E059F" w:rsidRDefault="00EA339B">
            <w:pPr>
              <w:pStyle w:val="TableParagraph"/>
              <w:tabs>
                <w:tab w:val="left" w:pos="1148"/>
                <w:tab w:val="left" w:pos="1440"/>
                <w:tab w:val="left" w:pos="1935"/>
                <w:tab w:val="left" w:pos="2328"/>
                <w:tab w:val="left" w:pos="2904"/>
                <w:tab w:val="left" w:pos="3091"/>
                <w:tab w:val="left" w:pos="3165"/>
                <w:tab w:val="left" w:pos="3964"/>
                <w:tab w:val="left" w:pos="4127"/>
              </w:tabs>
              <w:spacing w:before="1"/>
              <w:ind w:left="110" w:right="97"/>
              <w:jc w:val="both"/>
              <w:rPr>
                <w:sz w:val="20"/>
              </w:rPr>
            </w:pPr>
            <w:r>
              <w:rPr>
                <w:sz w:val="20"/>
              </w:rPr>
              <w:t>Başvuru</w:t>
            </w:r>
            <w:r>
              <w:rPr>
                <w:sz w:val="20"/>
              </w:rPr>
              <w:tab/>
            </w:r>
            <w:r>
              <w:rPr>
                <w:sz w:val="20"/>
              </w:rPr>
              <w:tab/>
              <w:t>sahiplerinin</w:t>
            </w:r>
            <w:r>
              <w:rPr>
                <w:sz w:val="20"/>
              </w:rPr>
              <w:tab/>
            </w:r>
            <w:r>
              <w:rPr>
                <w:sz w:val="20"/>
              </w:rPr>
              <w:tab/>
              <w:t>bağlı</w:t>
            </w:r>
            <w:r>
              <w:rPr>
                <w:sz w:val="20"/>
              </w:rPr>
              <w:tab/>
            </w:r>
            <w:r>
              <w:rPr>
                <w:sz w:val="20"/>
              </w:rPr>
              <w:tab/>
            </w:r>
            <w:r>
              <w:rPr>
                <w:w w:val="95"/>
                <w:sz w:val="20"/>
              </w:rPr>
              <w:t xml:space="preserve">oldukları </w:t>
            </w:r>
            <w:r>
              <w:rPr>
                <w:sz w:val="20"/>
              </w:rPr>
              <w:t>fakülte/enstitü/yüksekokullar arasında, önceki yıllarda programdan</w:t>
            </w:r>
            <w:r>
              <w:rPr>
                <w:sz w:val="20"/>
              </w:rPr>
              <w:tab/>
            </w:r>
            <w:r>
              <w:rPr>
                <w:sz w:val="20"/>
              </w:rPr>
              <w:tab/>
              <w:t>en</w:t>
            </w:r>
            <w:r>
              <w:rPr>
                <w:sz w:val="20"/>
              </w:rPr>
              <w:tab/>
            </w:r>
            <w:r>
              <w:rPr>
                <w:sz w:val="20"/>
              </w:rPr>
              <w:tab/>
              <w:t>çok</w:t>
            </w:r>
            <w:r>
              <w:rPr>
                <w:sz w:val="20"/>
              </w:rPr>
              <w:tab/>
            </w:r>
            <w:r>
              <w:rPr>
                <w:spacing w:val="-3"/>
                <w:sz w:val="20"/>
              </w:rPr>
              <w:t xml:space="preserve">faydalanan </w:t>
            </w:r>
            <w:r>
              <w:rPr>
                <w:sz w:val="20"/>
              </w:rPr>
              <w:t>fakülte/enstitü/yüksekokuldandan yapılan başvuruya 1 puan</w:t>
            </w:r>
            <w:r>
              <w:rPr>
                <w:sz w:val="20"/>
              </w:rPr>
              <w:tab/>
              <w:t>verilir.</w:t>
            </w:r>
            <w:r>
              <w:rPr>
                <w:sz w:val="20"/>
              </w:rPr>
              <w:tab/>
            </w:r>
            <w:r>
              <w:rPr>
                <w:sz w:val="20"/>
              </w:rPr>
              <w:tab/>
              <w:t>En</w:t>
            </w:r>
            <w:r>
              <w:rPr>
                <w:sz w:val="20"/>
              </w:rPr>
              <w:tab/>
            </w:r>
            <w:r>
              <w:rPr>
                <w:sz w:val="20"/>
              </w:rPr>
              <w:tab/>
            </w:r>
            <w:r>
              <w:rPr>
                <w:sz w:val="20"/>
              </w:rPr>
              <w:tab/>
              <w:t>az</w:t>
            </w:r>
            <w:r>
              <w:rPr>
                <w:sz w:val="20"/>
              </w:rPr>
              <w:tab/>
            </w:r>
            <w:r>
              <w:rPr>
                <w:w w:val="95"/>
                <w:sz w:val="20"/>
              </w:rPr>
              <w:t xml:space="preserve">faydalanan </w:t>
            </w:r>
            <w:r>
              <w:rPr>
                <w:sz w:val="20"/>
              </w:rPr>
              <w:t>fakülte/enstitü/yüksekokuldan yapılan</w:t>
            </w:r>
            <w:r>
              <w:rPr>
                <w:spacing w:val="28"/>
                <w:sz w:val="20"/>
              </w:rPr>
              <w:t xml:space="preserve"> </w:t>
            </w:r>
            <w:r>
              <w:rPr>
                <w:sz w:val="20"/>
              </w:rPr>
              <w:t>başvuruya</w:t>
            </w:r>
          </w:p>
          <w:p w14:paraId="166F2C58" w14:textId="77777777" w:rsidR="008E059F" w:rsidRDefault="00EA339B">
            <w:pPr>
              <w:pStyle w:val="TableParagraph"/>
              <w:spacing w:before="0" w:line="213" w:lineRule="exact"/>
              <w:ind w:left="110"/>
              <w:jc w:val="both"/>
              <w:rPr>
                <w:sz w:val="20"/>
              </w:rPr>
            </w:pPr>
            <w:r>
              <w:rPr>
                <w:sz w:val="20"/>
              </w:rPr>
              <w:t>doğru 1’er puan arttırılarak puanlandırma yapılır.</w:t>
            </w:r>
          </w:p>
        </w:tc>
      </w:tr>
      <w:tr w:rsidR="008E059F" w14:paraId="0109CA07" w14:textId="77777777">
        <w:trPr>
          <w:trHeight w:val="1818"/>
        </w:trPr>
        <w:tc>
          <w:tcPr>
            <w:tcW w:w="4314" w:type="dxa"/>
          </w:tcPr>
          <w:p w14:paraId="4F2B1387" w14:textId="77777777" w:rsidR="008E059F" w:rsidRDefault="00EA339B">
            <w:pPr>
              <w:pStyle w:val="TableParagraph"/>
              <w:tabs>
                <w:tab w:val="left" w:pos="3571"/>
              </w:tabs>
              <w:spacing w:before="1"/>
              <w:ind w:left="108" w:right="99"/>
              <w:jc w:val="both"/>
              <w:rPr>
                <w:sz w:val="20"/>
              </w:rPr>
            </w:pPr>
            <w:r>
              <w:rPr>
                <w:sz w:val="20"/>
              </w:rPr>
              <w:t>Daha önce programdan faydalanmamış bölüm/anabilimdalı/programdan</w:t>
            </w:r>
            <w:r>
              <w:rPr>
                <w:sz w:val="20"/>
              </w:rPr>
              <w:tab/>
            </w:r>
            <w:r>
              <w:rPr>
                <w:spacing w:val="-3"/>
                <w:sz w:val="20"/>
              </w:rPr>
              <w:t xml:space="preserve">yapılan </w:t>
            </w:r>
            <w:r>
              <w:rPr>
                <w:sz w:val="20"/>
              </w:rPr>
              <w:t>başvuru</w:t>
            </w:r>
            <w:r>
              <w:rPr>
                <w:spacing w:val="-2"/>
                <w:sz w:val="20"/>
              </w:rPr>
              <w:t xml:space="preserve"> </w:t>
            </w:r>
            <w:r>
              <w:rPr>
                <w:sz w:val="20"/>
              </w:rPr>
              <w:t>sahibi</w:t>
            </w:r>
          </w:p>
        </w:tc>
        <w:tc>
          <w:tcPr>
            <w:tcW w:w="5015" w:type="dxa"/>
          </w:tcPr>
          <w:p w14:paraId="4298F55D" w14:textId="77777777" w:rsidR="008E059F" w:rsidRDefault="00EA339B">
            <w:pPr>
              <w:pStyle w:val="TableParagraph"/>
              <w:tabs>
                <w:tab w:val="left" w:pos="1148"/>
                <w:tab w:val="left" w:pos="1440"/>
                <w:tab w:val="left" w:pos="2328"/>
                <w:tab w:val="left" w:pos="3091"/>
                <w:tab w:val="left" w:pos="3165"/>
                <w:tab w:val="left" w:pos="3964"/>
                <w:tab w:val="left" w:pos="4127"/>
              </w:tabs>
              <w:spacing w:before="1"/>
              <w:ind w:left="110" w:right="97"/>
              <w:jc w:val="both"/>
              <w:rPr>
                <w:sz w:val="20"/>
              </w:rPr>
            </w:pPr>
            <w:r>
              <w:rPr>
                <w:sz w:val="20"/>
              </w:rPr>
              <w:t>Başvuru</w:t>
            </w:r>
            <w:r>
              <w:rPr>
                <w:sz w:val="20"/>
              </w:rPr>
              <w:tab/>
            </w:r>
            <w:r>
              <w:rPr>
                <w:sz w:val="20"/>
              </w:rPr>
              <w:tab/>
              <w:t>sahiplerinin</w:t>
            </w:r>
            <w:r>
              <w:rPr>
                <w:sz w:val="20"/>
              </w:rPr>
              <w:tab/>
              <w:t>bağlı</w:t>
            </w:r>
            <w:r>
              <w:rPr>
                <w:sz w:val="20"/>
              </w:rPr>
              <w:tab/>
            </w:r>
            <w:r>
              <w:rPr>
                <w:sz w:val="20"/>
              </w:rPr>
              <w:tab/>
            </w:r>
            <w:r>
              <w:rPr>
                <w:w w:val="95"/>
                <w:sz w:val="20"/>
              </w:rPr>
              <w:t xml:space="preserve">oldukları </w:t>
            </w:r>
            <w:r>
              <w:rPr>
                <w:sz w:val="20"/>
              </w:rPr>
              <w:t>bölüm/anabilimdalı/programlar arasında, önceki yıllarda programdan en çok faydalanan bölüm/anabilimdalı/programdan yapılan başvuruya 1 puan</w:t>
            </w:r>
            <w:r>
              <w:rPr>
                <w:sz w:val="20"/>
              </w:rPr>
              <w:tab/>
              <w:t>verilir.</w:t>
            </w:r>
            <w:r>
              <w:rPr>
                <w:sz w:val="20"/>
              </w:rPr>
              <w:tab/>
              <w:t>En</w:t>
            </w:r>
            <w:r>
              <w:rPr>
                <w:sz w:val="20"/>
              </w:rPr>
              <w:tab/>
            </w:r>
            <w:r>
              <w:rPr>
                <w:sz w:val="20"/>
              </w:rPr>
              <w:tab/>
              <w:t>az</w:t>
            </w:r>
            <w:r>
              <w:rPr>
                <w:sz w:val="20"/>
              </w:rPr>
              <w:tab/>
            </w:r>
            <w:r>
              <w:rPr>
                <w:w w:val="95"/>
                <w:sz w:val="20"/>
              </w:rPr>
              <w:t xml:space="preserve">faydalanan </w:t>
            </w:r>
            <w:r>
              <w:rPr>
                <w:sz w:val="20"/>
              </w:rPr>
              <w:t>bölüm/anabilimdalı/programdan yapılan başvuruya doğru 1’er puan arttırılarak puanlandırma</w:t>
            </w:r>
            <w:r>
              <w:rPr>
                <w:spacing w:val="-10"/>
                <w:sz w:val="20"/>
              </w:rPr>
              <w:t xml:space="preserve"> </w:t>
            </w:r>
            <w:r>
              <w:rPr>
                <w:sz w:val="20"/>
              </w:rPr>
              <w:t>yapılır.</w:t>
            </w:r>
          </w:p>
        </w:tc>
      </w:tr>
      <w:tr w:rsidR="008E059F" w14:paraId="6928BAB7" w14:textId="77777777">
        <w:trPr>
          <w:trHeight w:val="837"/>
        </w:trPr>
        <w:tc>
          <w:tcPr>
            <w:tcW w:w="4314" w:type="dxa"/>
          </w:tcPr>
          <w:p w14:paraId="6F982ED4" w14:textId="77777777" w:rsidR="008E059F" w:rsidRDefault="00EA339B">
            <w:pPr>
              <w:pStyle w:val="TableParagraph"/>
              <w:spacing w:before="0" w:line="234" w:lineRule="exact"/>
              <w:ind w:left="108"/>
              <w:rPr>
                <w:sz w:val="20"/>
              </w:rPr>
            </w:pPr>
            <w:r>
              <w:rPr>
                <w:sz w:val="20"/>
              </w:rPr>
              <w:t>Puan eşitlikleri</w:t>
            </w:r>
          </w:p>
        </w:tc>
        <w:tc>
          <w:tcPr>
            <w:tcW w:w="5015" w:type="dxa"/>
          </w:tcPr>
          <w:p w14:paraId="3C497560" w14:textId="77777777" w:rsidR="008E059F" w:rsidRDefault="00EA339B">
            <w:pPr>
              <w:pStyle w:val="TableParagraph"/>
              <w:spacing w:before="0"/>
              <w:ind w:left="110" w:right="99"/>
              <w:jc w:val="both"/>
              <w:rPr>
                <w:sz w:val="20"/>
              </w:rPr>
            </w:pPr>
            <w:r>
              <w:rPr>
                <w:sz w:val="20"/>
              </w:rPr>
              <w:t>Puan eşitlikleri durumunda sırasıyla bir yıl yaşça büyük olan personel, bir sonraki yıl yaşça küçük olan personel üst sırada yer almaktadır.</w:t>
            </w:r>
          </w:p>
        </w:tc>
      </w:tr>
    </w:tbl>
    <w:p w14:paraId="5A8FEC53" w14:textId="77777777" w:rsidR="008E059F" w:rsidRDefault="008E059F">
      <w:pPr>
        <w:pStyle w:val="GvdeMetni"/>
        <w:rPr>
          <w:i/>
        </w:rPr>
      </w:pPr>
    </w:p>
    <w:p w14:paraId="5E6A10EE" w14:textId="77777777" w:rsidR="008E059F" w:rsidRDefault="008E059F">
      <w:pPr>
        <w:pStyle w:val="GvdeMetni"/>
        <w:spacing w:before="4"/>
        <w:rPr>
          <w:i/>
          <w:sz w:val="23"/>
        </w:rPr>
      </w:pPr>
    </w:p>
    <w:p w14:paraId="26186011" w14:textId="77777777" w:rsidR="008E059F" w:rsidRDefault="00EA339B">
      <w:pPr>
        <w:spacing w:before="1"/>
        <w:ind w:left="216"/>
        <w:rPr>
          <w:i/>
          <w:sz w:val="20"/>
        </w:rPr>
      </w:pPr>
      <w:r>
        <w:rPr>
          <w:i/>
          <w:sz w:val="20"/>
        </w:rPr>
        <w:t>Eğitim Alma Hareketliliği Puanlandırma Kriterleri:</w:t>
      </w:r>
    </w:p>
    <w:p w14:paraId="102A2B58" w14:textId="77777777" w:rsidR="008E059F" w:rsidRDefault="008E059F">
      <w:pPr>
        <w:pStyle w:val="GvdeMetni"/>
        <w:spacing w:before="1"/>
        <w:rPr>
          <w:i/>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5065"/>
      </w:tblGrid>
      <w:tr w:rsidR="008E059F" w14:paraId="7CE0317D" w14:textId="77777777">
        <w:trPr>
          <w:trHeight w:val="378"/>
        </w:trPr>
        <w:tc>
          <w:tcPr>
            <w:tcW w:w="4549" w:type="dxa"/>
          </w:tcPr>
          <w:p w14:paraId="3CCD872A" w14:textId="77777777" w:rsidR="008E059F" w:rsidRDefault="00EA339B">
            <w:pPr>
              <w:pStyle w:val="TableParagraph"/>
              <w:spacing w:before="0" w:line="234" w:lineRule="exact"/>
              <w:ind w:left="108"/>
              <w:rPr>
                <w:sz w:val="20"/>
              </w:rPr>
            </w:pPr>
            <w:r>
              <w:rPr>
                <w:sz w:val="20"/>
              </w:rPr>
              <w:t>Taban Puan</w:t>
            </w:r>
          </w:p>
        </w:tc>
        <w:tc>
          <w:tcPr>
            <w:tcW w:w="5065" w:type="dxa"/>
          </w:tcPr>
          <w:p w14:paraId="33C738F0" w14:textId="77777777" w:rsidR="008E059F" w:rsidRDefault="00EA339B">
            <w:pPr>
              <w:pStyle w:val="TableParagraph"/>
              <w:spacing w:before="0" w:line="234" w:lineRule="exact"/>
              <w:ind w:left="110"/>
              <w:rPr>
                <w:sz w:val="20"/>
              </w:rPr>
            </w:pPr>
            <w:r>
              <w:rPr>
                <w:sz w:val="20"/>
              </w:rPr>
              <w:t>20</w:t>
            </w:r>
          </w:p>
        </w:tc>
      </w:tr>
      <w:tr w:rsidR="008E059F" w14:paraId="6B7D18FF" w14:textId="77777777">
        <w:trPr>
          <w:trHeight w:val="1173"/>
        </w:trPr>
        <w:tc>
          <w:tcPr>
            <w:tcW w:w="4549" w:type="dxa"/>
          </w:tcPr>
          <w:p w14:paraId="3FD7949A" w14:textId="77777777" w:rsidR="008E059F" w:rsidRDefault="00EA339B">
            <w:pPr>
              <w:pStyle w:val="TableParagraph"/>
              <w:spacing w:before="1"/>
              <w:ind w:left="108"/>
              <w:rPr>
                <w:sz w:val="20"/>
              </w:rPr>
            </w:pPr>
            <w:r>
              <w:rPr>
                <w:sz w:val="20"/>
              </w:rPr>
              <w:t>ÜDS/KPDS/YDS Yabancı Dil Sınavı Puanının yüzde 20’si</w:t>
            </w:r>
          </w:p>
        </w:tc>
        <w:tc>
          <w:tcPr>
            <w:tcW w:w="5065" w:type="dxa"/>
          </w:tcPr>
          <w:p w14:paraId="4C6CAC17" w14:textId="77777777" w:rsidR="008E059F" w:rsidRDefault="00EA339B">
            <w:pPr>
              <w:pStyle w:val="TableParagraph"/>
              <w:spacing w:before="1"/>
              <w:ind w:left="110" w:right="99"/>
              <w:jc w:val="both"/>
              <w:rPr>
                <w:sz w:val="20"/>
              </w:rPr>
            </w:pPr>
            <w:r>
              <w:rPr>
                <w:sz w:val="20"/>
              </w:rPr>
              <w:t>ÜDS/KPDS/YDS Puanının %20'si taban puana eklenir. (Son 5 yıl içinde alınmış ÜDS/KPDS/YDS puanının ibrazı zorunludur. Başvuru sahibinin b</w:t>
            </w:r>
            <w:r>
              <w:rPr>
                <w:sz w:val="20"/>
              </w:rPr>
              <w:t>aşvurusunun geçerli</w:t>
            </w:r>
          </w:p>
          <w:p w14:paraId="0012C786" w14:textId="77777777" w:rsidR="008E059F" w:rsidRDefault="00EA339B">
            <w:pPr>
              <w:pStyle w:val="TableParagraph"/>
              <w:spacing w:before="5" w:line="232" w:lineRule="exact"/>
              <w:ind w:left="110" w:right="99"/>
              <w:jc w:val="both"/>
              <w:rPr>
                <w:sz w:val="20"/>
              </w:rPr>
            </w:pPr>
            <w:r>
              <w:rPr>
                <w:sz w:val="20"/>
              </w:rPr>
              <w:t>olabilmesi için adı geçen sınavların birinden en az "100 üzerinden 50 puan" almış olması gerekmektedir.)</w:t>
            </w:r>
          </w:p>
        </w:tc>
      </w:tr>
      <w:tr w:rsidR="008E059F" w14:paraId="34C3C505" w14:textId="77777777">
        <w:trPr>
          <w:trHeight w:val="1876"/>
        </w:trPr>
        <w:tc>
          <w:tcPr>
            <w:tcW w:w="4549" w:type="dxa"/>
          </w:tcPr>
          <w:p w14:paraId="3934ED1E" w14:textId="77777777" w:rsidR="008E059F" w:rsidRDefault="00EA339B">
            <w:pPr>
              <w:pStyle w:val="TableParagraph"/>
              <w:spacing w:before="0"/>
              <w:ind w:left="108" w:right="98"/>
              <w:rPr>
                <w:sz w:val="20"/>
              </w:rPr>
            </w:pPr>
            <w:r>
              <w:rPr>
                <w:sz w:val="20"/>
              </w:rPr>
              <w:t>Daha önce eğitim alma faaliyetlerinde yer almayan kurumun tercih edilmesi</w:t>
            </w:r>
          </w:p>
        </w:tc>
        <w:tc>
          <w:tcPr>
            <w:tcW w:w="5065" w:type="dxa"/>
          </w:tcPr>
          <w:p w14:paraId="3E79708A" w14:textId="77777777" w:rsidR="008E059F" w:rsidRDefault="00EA339B">
            <w:pPr>
              <w:pStyle w:val="TableParagraph"/>
              <w:spacing w:before="0"/>
              <w:ind w:left="110" w:right="98"/>
              <w:jc w:val="both"/>
              <w:rPr>
                <w:sz w:val="20"/>
              </w:rPr>
            </w:pPr>
            <w:r>
              <w:rPr>
                <w:sz w:val="20"/>
              </w:rPr>
              <w:t xml:space="preserve">Başvurular alındıktan sonra, online başvuru formları incelenerek başvuru sahipleri tarafından kaç farklı yurtdışı kurum/kuruluşun tercih edildiği belirlenir. Bu kurum/kuruluşlardan, </w:t>
            </w:r>
            <w:r>
              <w:rPr>
                <w:sz w:val="20"/>
              </w:rPr>
              <w:t>önceki yıllarda en fazla sayıda gidilmiş olanı tercih eden personellere 1 puan verilir. Önceki yıllarda daha az gidilmiş olan kurum/kuruluşları tercih eden personellere, kurumun daha önce gidilmişlik</w:t>
            </w:r>
          </w:p>
          <w:p w14:paraId="53DF3366" w14:textId="77777777" w:rsidR="008E059F" w:rsidRDefault="00EA339B">
            <w:pPr>
              <w:pStyle w:val="TableParagraph"/>
              <w:spacing w:before="0" w:line="215" w:lineRule="exact"/>
              <w:ind w:left="110"/>
              <w:jc w:val="both"/>
              <w:rPr>
                <w:sz w:val="20"/>
              </w:rPr>
            </w:pPr>
            <w:r>
              <w:rPr>
                <w:sz w:val="20"/>
              </w:rPr>
              <w:t>sayısına göre 1'er puan arttırarak puan verilir.</w:t>
            </w:r>
          </w:p>
        </w:tc>
      </w:tr>
      <w:tr w:rsidR="008E059F" w14:paraId="73FDB13A" w14:textId="77777777">
        <w:trPr>
          <w:trHeight w:val="1876"/>
        </w:trPr>
        <w:tc>
          <w:tcPr>
            <w:tcW w:w="4549" w:type="dxa"/>
          </w:tcPr>
          <w:p w14:paraId="556A190C" w14:textId="77777777" w:rsidR="008E059F" w:rsidRDefault="00EA339B">
            <w:pPr>
              <w:pStyle w:val="TableParagraph"/>
              <w:spacing w:before="0"/>
              <w:ind w:left="108" w:right="98"/>
              <w:rPr>
                <w:sz w:val="20"/>
              </w:rPr>
            </w:pPr>
            <w:r>
              <w:rPr>
                <w:sz w:val="20"/>
              </w:rPr>
              <w:t>Daha önce eğitim alma faaliyetlerinde yer almayan ülkenin tercih edilmesi</w:t>
            </w:r>
          </w:p>
        </w:tc>
        <w:tc>
          <w:tcPr>
            <w:tcW w:w="5065" w:type="dxa"/>
          </w:tcPr>
          <w:p w14:paraId="624FBF18" w14:textId="77777777" w:rsidR="008E059F" w:rsidRDefault="00EA339B">
            <w:pPr>
              <w:pStyle w:val="TableParagraph"/>
              <w:spacing w:before="0"/>
              <w:ind w:left="110" w:right="100"/>
              <w:jc w:val="both"/>
              <w:rPr>
                <w:sz w:val="20"/>
              </w:rPr>
            </w:pPr>
            <w:r>
              <w:rPr>
                <w:sz w:val="20"/>
              </w:rPr>
              <w:t>Başvurular alındıktan sonra, online başvuru formları incelenerek başvuru sahipleri tarafından kaç farklı ülke tercih edildiği belirlenir. Bu ülkelerden, önceki yıllarda en fazla sayı</w:t>
            </w:r>
            <w:r>
              <w:rPr>
                <w:sz w:val="20"/>
              </w:rPr>
              <w:t>da gidilmiş olanı tercih eden personellere 1 puan verilir. Önceki yıllarda daha az gidilmiş olan ülkeleri tercih eden personellere, ülkenin daha önce gidilmişlik sayısına göre 1'er puan arttırarak puan</w:t>
            </w:r>
          </w:p>
          <w:p w14:paraId="2862DE7A" w14:textId="77777777" w:rsidR="008E059F" w:rsidRDefault="00EA339B">
            <w:pPr>
              <w:pStyle w:val="TableParagraph"/>
              <w:spacing w:before="0" w:line="215" w:lineRule="exact"/>
              <w:ind w:left="110"/>
              <w:rPr>
                <w:sz w:val="20"/>
              </w:rPr>
            </w:pPr>
            <w:r>
              <w:rPr>
                <w:sz w:val="20"/>
              </w:rPr>
              <w:t>verilir.</w:t>
            </w:r>
          </w:p>
        </w:tc>
      </w:tr>
      <w:tr w:rsidR="008E059F" w14:paraId="736BC841" w14:textId="77777777">
        <w:trPr>
          <w:trHeight w:val="1641"/>
        </w:trPr>
        <w:tc>
          <w:tcPr>
            <w:tcW w:w="4549" w:type="dxa"/>
          </w:tcPr>
          <w:p w14:paraId="66850623" w14:textId="77777777" w:rsidR="008E059F" w:rsidRDefault="00EA339B">
            <w:pPr>
              <w:pStyle w:val="TableParagraph"/>
              <w:spacing w:before="0" w:line="234" w:lineRule="exact"/>
              <w:ind w:left="108"/>
              <w:rPr>
                <w:sz w:val="20"/>
              </w:rPr>
            </w:pPr>
            <w:r>
              <w:rPr>
                <w:sz w:val="20"/>
              </w:rPr>
              <w:t>Mağduriyet</w:t>
            </w:r>
          </w:p>
        </w:tc>
        <w:tc>
          <w:tcPr>
            <w:tcW w:w="5065" w:type="dxa"/>
          </w:tcPr>
          <w:p w14:paraId="18496786" w14:textId="77777777" w:rsidR="008E059F" w:rsidRDefault="00EA339B">
            <w:pPr>
              <w:pStyle w:val="TableParagraph"/>
              <w:spacing w:before="0"/>
              <w:ind w:left="110" w:right="98"/>
              <w:jc w:val="both"/>
              <w:rPr>
                <w:sz w:val="20"/>
              </w:rPr>
            </w:pPr>
            <w:r>
              <w:rPr>
                <w:sz w:val="20"/>
              </w:rPr>
              <w:t>Bir önceki yıl programa başvuru y</w:t>
            </w:r>
            <w:r>
              <w:rPr>
                <w:sz w:val="20"/>
              </w:rPr>
              <w:t>aparak seçilen ve tüm işlemlerini gerçekleştirmekle birlikte, sağlık sorunları, gidilecek kurumdan yanıt alamama ve Ulusal Ajansa bağlı hibe ödemesi gecikmeleri gibi zorunlu nedenlerle programdan yararlanamamış olan başvuru sahiplerine</w:t>
            </w:r>
          </w:p>
          <w:p w14:paraId="53154E5B" w14:textId="77777777" w:rsidR="008E059F" w:rsidRDefault="00EA339B">
            <w:pPr>
              <w:pStyle w:val="TableParagraph"/>
              <w:spacing w:before="0" w:line="236" w:lineRule="exact"/>
              <w:ind w:left="110" w:right="98"/>
              <w:jc w:val="both"/>
              <w:rPr>
                <w:sz w:val="20"/>
              </w:rPr>
            </w:pPr>
            <w:r>
              <w:rPr>
                <w:sz w:val="20"/>
              </w:rPr>
              <w:t>+10 puan eklenir. (Personelin daha önce dilekçe ile bilgilendirme yapmış olması gerekmektedir)</w:t>
            </w:r>
          </w:p>
        </w:tc>
      </w:tr>
      <w:tr w:rsidR="008E059F" w14:paraId="6FBE9012" w14:textId="77777777">
        <w:trPr>
          <w:trHeight w:val="935"/>
        </w:trPr>
        <w:tc>
          <w:tcPr>
            <w:tcW w:w="4549" w:type="dxa"/>
          </w:tcPr>
          <w:p w14:paraId="08EE6598" w14:textId="77777777" w:rsidR="008E059F" w:rsidRDefault="00EA339B">
            <w:pPr>
              <w:pStyle w:val="TableParagraph"/>
              <w:spacing w:before="0" w:line="231" w:lineRule="exact"/>
              <w:ind w:left="108"/>
              <w:rPr>
                <w:sz w:val="20"/>
              </w:rPr>
            </w:pPr>
            <w:r>
              <w:rPr>
                <w:sz w:val="20"/>
              </w:rPr>
              <w:t>Gerekçesiz vazgeçme</w:t>
            </w:r>
          </w:p>
        </w:tc>
        <w:tc>
          <w:tcPr>
            <w:tcW w:w="5065" w:type="dxa"/>
          </w:tcPr>
          <w:p w14:paraId="3CBC34FC" w14:textId="77777777" w:rsidR="008E059F" w:rsidRDefault="00EA339B">
            <w:pPr>
              <w:pStyle w:val="TableParagraph"/>
              <w:spacing w:before="0"/>
              <w:ind w:left="110" w:right="99"/>
              <w:jc w:val="both"/>
              <w:rPr>
                <w:sz w:val="20"/>
              </w:rPr>
            </w:pPr>
            <w:r>
              <w:rPr>
                <w:sz w:val="20"/>
              </w:rPr>
              <w:t>Bir önceki yıl gitmeye hak kazandığı halde, yukarıda belirtilen nedenler dışında gerekçe göstermeksizin gitmekten vazgeçen başvuru sahipleri</w:t>
            </w:r>
            <w:r>
              <w:rPr>
                <w:sz w:val="20"/>
              </w:rPr>
              <w:t>nden 20 puan</w:t>
            </w:r>
          </w:p>
          <w:p w14:paraId="1B498D4D" w14:textId="77777777" w:rsidR="008E059F" w:rsidRDefault="00EA339B">
            <w:pPr>
              <w:pStyle w:val="TableParagraph"/>
              <w:spacing w:before="0" w:line="215" w:lineRule="exact"/>
              <w:ind w:left="110"/>
              <w:rPr>
                <w:sz w:val="20"/>
              </w:rPr>
            </w:pPr>
            <w:r>
              <w:rPr>
                <w:sz w:val="20"/>
              </w:rPr>
              <w:t>çıkartılır.</w:t>
            </w:r>
          </w:p>
        </w:tc>
      </w:tr>
      <w:tr w:rsidR="008E059F" w14:paraId="3E2B8945" w14:textId="77777777">
        <w:trPr>
          <w:trHeight w:val="378"/>
        </w:trPr>
        <w:tc>
          <w:tcPr>
            <w:tcW w:w="4549" w:type="dxa"/>
          </w:tcPr>
          <w:p w14:paraId="7CA9FF37" w14:textId="77777777" w:rsidR="008E059F" w:rsidRDefault="00EA339B">
            <w:pPr>
              <w:pStyle w:val="TableParagraph"/>
              <w:spacing w:before="0" w:line="234" w:lineRule="exact"/>
              <w:ind w:left="108"/>
              <w:rPr>
                <w:sz w:val="20"/>
              </w:rPr>
            </w:pPr>
            <w:r>
              <w:rPr>
                <w:sz w:val="20"/>
              </w:rPr>
              <w:t>Bir önceki yıl programdan faydalanmış olmak</w:t>
            </w:r>
          </w:p>
        </w:tc>
        <w:tc>
          <w:tcPr>
            <w:tcW w:w="5065" w:type="dxa"/>
          </w:tcPr>
          <w:p w14:paraId="20B0EAC7" w14:textId="77777777" w:rsidR="008E059F" w:rsidRDefault="00EA339B">
            <w:pPr>
              <w:pStyle w:val="TableParagraph"/>
              <w:spacing w:before="0" w:line="234" w:lineRule="exact"/>
              <w:ind w:left="110"/>
              <w:rPr>
                <w:sz w:val="20"/>
              </w:rPr>
            </w:pPr>
            <w:r>
              <w:rPr>
                <w:sz w:val="20"/>
              </w:rPr>
              <w:t>Toplam puandan 9 puan çıkarılır.</w:t>
            </w:r>
          </w:p>
        </w:tc>
      </w:tr>
    </w:tbl>
    <w:p w14:paraId="273DDFA7" w14:textId="77777777" w:rsidR="008E059F" w:rsidRDefault="008E059F">
      <w:pPr>
        <w:spacing w:line="234" w:lineRule="exact"/>
        <w:rPr>
          <w:sz w:val="20"/>
        </w:rPr>
        <w:sectPr w:rsidR="008E059F">
          <w:pgSz w:w="11910" w:h="16840"/>
          <w:pgMar w:top="1320" w:right="860" w:bottom="280" w:left="1200" w:header="749" w:footer="0" w:gutter="0"/>
          <w:cols w:space="708"/>
        </w:sectPr>
      </w:pPr>
    </w:p>
    <w:p w14:paraId="0BB9DD5E" w14:textId="77777777" w:rsidR="008E059F" w:rsidRDefault="008E059F">
      <w:pPr>
        <w:pStyle w:val="GvdeMetni"/>
        <w:spacing w:before="7"/>
        <w:rPr>
          <w:i/>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5065"/>
      </w:tblGrid>
      <w:tr w:rsidR="008E059F" w14:paraId="58408C96" w14:textId="77777777">
        <w:trPr>
          <w:trHeight w:val="381"/>
        </w:trPr>
        <w:tc>
          <w:tcPr>
            <w:tcW w:w="4549" w:type="dxa"/>
          </w:tcPr>
          <w:p w14:paraId="746E0E80" w14:textId="77777777" w:rsidR="008E059F" w:rsidRDefault="00EA339B">
            <w:pPr>
              <w:pStyle w:val="TableParagraph"/>
              <w:spacing w:before="1"/>
              <w:ind w:left="108"/>
              <w:rPr>
                <w:sz w:val="20"/>
              </w:rPr>
            </w:pPr>
            <w:r>
              <w:rPr>
                <w:sz w:val="20"/>
              </w:rPr>
              <w:t>İki yıl önce programdan faydalanmış olmak</w:t>
            </w:r>
          </w:p>
        </w:tc>
        <w:tc>
          <w:tcPr>
            <w:tcW w:w="5065" w:type="dxa"/>
          </w:tcPr>
          <w:p w14:paraId="3D2F3CE9" w14:textId="77777777" w:rsidR="008E059F" w:rsidRDefault="00EA339B">
            <w:pPr>
              <w:pStyle w:val="TableParagraph"/>
              <w:spacing w:before="1"/>
              <w:ind w:left="110"/>
              <w:rPr>
                <w:sz w:val="20"/>
              </w:rPr>
            </w:pPr>
            <w:r>
              <w:rPr>
                <w:sz w:val="20"/>
              </w:rPr>
              <w:t>Toplam puandan 6 puan çıkarılır.</w:t>
            </w:r>
          </w:p>
        </w:tc>
      </w:tr>
      <w:tr w:rsidR="008E059F" w14:paraId="3B04A37B" w14:textId="77777777">
        <w:trPr>
          <w:trHeight w:val="379"/>
        </w:trPr>
        <w:tc>
          <w:tcPr>
            <w:tcW w:w="4549" w:type="dxa"/>
          </w:tcPr>
          <w:p w14:paraId="3F5E3D72" w14:textId="77777777" w:rsidR="008E059F" w:rsidRDefault="00EA339B">
            <w:pPr>
              <w:pStyle w:val="TableParagraph"/>
              <w:spacing w:before="0" w:line="234" w:lineRule="exact"/>
              <w:ind w:left="108"/>
              <w:rPr>
                <w:sz w:val="20"/>
              </w:rPr>
            </w:pPr>
            <w:r>
              <w:rPr>
                <w:sz w:val="20"/>
              </w:rPr>
              <w:t>Üç yıl önce programdan faydalanmış olmak</w:t>
            </w:r>
          </w:p>
        </w:tc>
        <w:tc>
          <w:tcPr>
            <w:tcW w:w="5065" w:type="dxa"/>
          </w:tcPr>
          <w:p w14:paraId="1D6807EC" w14:textId="77777777" w:rsidR="008E059F" w:rsidRDefault="00EA339B">
            <w:pPr>
              <w:pStyle w:val="TableParagraph"/>
              <w:spacing w:before="0" w:line="234" w:lineRule="exact"/>
              <w:ind w:left="110"/>
              <w:rPr>
                <w:sz w:val="20"/>
              </w:rPr>
            </w:pPr>
            <w:r>
              <w:rPr>
                <w:sz w:val="20"/>
              </w:rPr>
              <w:t>Toplam puandan 3 puan çıkarılır.</w:t>
            </w:r>
          </w:p>
        </w:tc>
      </w:tr>
      <w:tr w:rsidR="008E059F" w14:paraId="1FBADC53" w14:textId="77777777">
        <w:trPr>
          <w:trHeight w:val="470"/>
        </w:trPr>
        <w:tc>
          <w:tcPr>
            <w:tcW w:w="4549" w:type="dxa"/>
          </w:tcPr>
          <w:p w14:paraId="3C0068BF" w14:textId="77777777" w:rsidR="008E059F" w:rsidRDefault="00EA339B">
            <w:pPr>
              <w:pStyle w:val="TableParagraph"/>
              <w:spacing w:before="1"/>
              <w:ind w:left="108"/>
              <w:rPr>
                <w:sz w:val="20"/>
              </w:rPr>
            </w:pPr>
            <w:r>
              <w:rPr>
                <w:sz w:val="20"/>
              </w:rPr>
              <w:t>Daha önce programdan yararlanma sayısı</w:t>
            </w:r>
          </w:p>
        </w:tc>
        <w:tc>
          <w:tcPr>
            <w:tcW w:w="5065" w:type="dxa"/>
          </w:tcPr>
          <w:p w14:paraId="76BF30AA" w14:textId="77777777" w:rsidR="008E059F" w:rsidRDefault="00EA339B">
            <w:pPr>
              <w:pStyle w:val="TableParagraph"/>
              <w:spacing w:before="6" w:line="232" w:lineRule="exact"/>
              <w:ind w:left="110" w:right="87"/>
              <w:rPr>
                <w:sz w:val="20"/>
              </w:rPr>
            </w:pPr>
            <w:r>
              <w:rPr>
                <w:sz w:val="20"/>
              </w:rPr>
              <w:t>Daha önce programdan kaç kez yararlanılmış ise, o sayıda puan toplam puandan çıkarılır.</w:t>
            </w:r>
          </w:p>
        </w:tc>
      </w:tr>
      <w:tr w:rsidR="008E059F" w14:paraId="52C27D94" w14:textId="77777777">
        <w:trPr>
          <w:trHeight w:val="1173"/>
        </w:trPr>
        <w:tc>
          <w:tcPr>
            <w:tcW w:w="4549" w:type="dxa"/>
          </w:tcPr>
          <w:p w14:paraId="5EA32BA6" w14:textId="77777777" w:rsidR="008E059F" w:rsidRDefault="00EA339B">
            <w:pPr>
              <w:pStyle w:val="TableParagraph"/>
              <w:spacing w:before="0"/>
              <w:ind w:left="108"/>
              <w:rPr>
                <w:sz w:val="20"/>
              </w:rPr>
            </w:pPr>
            <w:r>
              <w:rPr>
                <w:sz w:val="20"/>
              </w:rPr>
              <w:t>Daha önce programdan faydalanmamış birimden yapılan başvuru sahibi</w:t>
            </w:r>
          </w:p>
        </w:tc>
        <w:tc>
          <w:tcPr>
            <w:tcW w:w="5065" w:type="dxa"/>
          </w:tcPr>
          <w:p w14:paraId="34CE74CB" w14:textId="77777777" w:rsidR="008E059F" w:rsidRDefault="00EA339B">
            <w:pPr>
              <w:pStyle w:val="TableParagraph"/>
              <w:spacing w:before="0"/>
              <w:ind w:left="110" w:right="97"/>
              <w:jc w:val="both"/>
              <w:rPr>
                <w:sz w:val="20"/>
              </w:rPr>
            </w:pPr>
            <w:r>
              <w:rPr>
                <w:sz w:val="20"/>
              </w:rPr>
              <w:t>Başvuru sahiplerinin bağlı oldukları akademik/idari birimler arasında, önceki yıllarda programdan en</w:t>
            </w:r>
            <w:r>
              <w:rPr>
                <w:sz w:val="20"/>
              </w:rPr>
              <w:t xml:space="preserve"> çok faydalanan birimden yapılan başvuruya 1 puan verilir. En az faydalanan birimden yapılan başvuruya doğru 1’er</w:t>
            </w:r>
          </w:p>
          <w:p w14:paraId="6F636264" w14:textId="77777777" w:rsidR="008E059F" w:rsidRDefault="00EA339B">
            <w:pPr>
              <w:pStyle w:val="TableParagraph"/>
              <w:spacing w:before="0" w:line="215" w:lineRule="exact"/>
              <w:ind w:left="110"/>
              <w:jc w:val="both"/>
              <w:rPr>
                <w:sz w:val="20"/>
              </w:rPr>
            </w:pPr>
            <w:r>
              <w:rPr>
                <w:sz w:val="20"/>
              </w:rPr>
              <w:t>puan arttırılarak puanlandırma yapılır.</w:t>
            </w:r>
          </w:p>
        </w:tc>
      </w:tr>
      <w:tr w:rsidR="008E059F" w14:paraId="7DF4EC83" w14:textId="77777777">
        <w:trPr>
          <w:trHeight w:val="748"/>
        </w:trPr>
        <w:tc>
          <w:tcPr>
            <w:tcW w:w="4549" w:type="dxa"/>
          </w:tcPr>
          <w:p w14:paraId="0A587C4C" w14:textId="77777777" w:rsidR="008E059F" w:rsidRDefault="00EA339B">
            <w:pPr>
              <w:pStyle w:val="TableParagraph"/>
              <w:spacing w:before="0" w:line="234" w:lineRule="exact"/>
              <w:ind w:left="108"/>
              <w:rPr>
                <w:sz w:val="20"/>
              </w:rPr>
            </w:pPr>
            <w:r>
              <w:rPr>
                <w:sz w:val="20"/>
              </w:rPr>
              <w:t>Puan eşitlikleri</w:t>
            </w:r>
          </w:p>
        </w:tc>
        <w:tc>
          <w:tcPr>
            <w:tcW w:w="5065" w:type="dxa"/>
          </w:tcPr>
          <w:p w14:paraId="7FA527CD" w14:textId="77777777" w:rsidR="008E059F" w:rsidRDefault="00EA339B">
            <w:pPr>
              <w:pStyle w:val="TableParagraph"/>
              <w:spacing w:before="0"/>
              <w:ind w:left="110" w:right="101"/>
              <w:jc w:val="both"/>
              <w:rPr>
                <w:sz w:val="20"/>
              </w:rPr>
            </w:pPr>
            <w:r>
              <w:rPr>
                <w:sz w:val="20"/>
              </w:rPr>
              <w:t>Puan eşitlikleri durumunda sırasıyla bir yıl yaşça büyük olan personel, bir sonraki yıl yaşça küçük olan personel üst sırada yer almaktadır.</w:t>
            </w:r>
          </w:p>
        </w:tc>
      </w:tr>
    </w:tbl>
    <w:p w14:paraId="38226656" w14:textId="77777777" w:rsidR="008E059F" w:rsidRDefault="008E059F">
      <w:pPr>
        <w:pStyle w:val="GvdeMetni"/>
        <w:rPr>
          <w:i/>
        </w:rPr>
      </w:pPr>
    </w:p>
    <w:p w14:paraId="1ABCB7C1" w14:textId="77777777" w:rsidR="008E059F" w:rsidRDefault="008E059F">
      <w:pPr>
        <w:pStyle w:val="GvdeMetni"/>
        <w:spacing w:before="4"/>
        <w:rPr>
          <w:i/>
          <w:sz w:val="23"/>
        </w:rPr>
      </w:pPr>
    </w:p>
    <w:p w14:paraId="54E217AA" w14:textId="77777777" w:rsidR="008E059F" w:rsidRDefault="00EA339B">
      <w:pPr>
        <w:pStyle w:val="Balk1"/>
        <w:spacing w:before="1"/>
      </w:pPr>
      <w:r>
        <w:t>Hüküm bulunmayan haller:</w:t>
      </w:r>
    </w:p>
    <w:p w14:paraId="00B2C993" w14:textId="77777777" w:rsidR="008E059F" w:rsidRDefault="008E059F">
      <w:pPr>
        <w:pStyle w:val="GvdeMetni"/>
        <w:spacing w:before="1"/>
        <w:rPr>
          <w:b/>
        </w:rPr>
      </w:pPr>
    </w:p>
    <w:p w14:paraId="65EBC6B2" w14:textId="797F2E41" w:rsidR="008E059F" w:rsidRDefault="00EA339B">
      <w:pPr>
        <w:pStyle w:val="GvdeMetni"/>
        <w:spacing w:before="1" w:line="276" w:lineRule="auto"/>
        <w:ind w:left="216" w:right="275"/>
        <w:jc w:val="both"/>
      </w:pPr>
      <w:r>
        <w:rPr>
          <w:b/>
        </w:rPr>
        <w:t xml:space="preserve">MADDE 25 </w:t>
      </w:r>
      <w:r>
        <w:t xml:space="preserve">– (1) Bu yönergede hüküm bulunmayan konularda </w:t>
      </w:r>
      <w:r w:rsidR="005546AB">
        <w:t xml:space="preserve">Tekirdağ </w:t>
      </w:r>
      <w:r>
        <w:t>Namık Kemal Üniversitesi Ön lisans / Lisans / Lisansüstü / Sağlık Yüksekokulları Eğitim–Öğretim ve Sınav Yönetmelikleri ve Avrupa Birliği Eğitim ve Gençlik Programları Merkezi (Türkiye Ulusal Ajansı) tarafından</w:t>
      </w:r>
      <w:r>
        <w:t xml:space="preserve"> her akademik yıl için hazırlanan “Erasmus Uygulama El Kitabı”nda geçen hükümlere göre Koordinatörlük tarafından işlem yapılır.</w:t>
      </w:r>
    </w:p>
    <w:p w14:paraId="213280A5" w14:textId="77777777" w:rsidR="008E059F" w:rsidRDefault="008E059F">
      <w:pPr>
        <w:pStyle w:val="GvdeMetni"/>
        <w:spacing w:before="10"/>
        <w:rPr>
          <w:sz w:val="16"/>
        </w:rPr>
      </w:pPr>
    </w:p>
    <w:p w14:paraId="297E010D" w14:textId="77777777" w:rsidR="008E059F" w:rsidRDefault="00EA339B">
      <w:pPr>
        <w:pStyle w:val="Balk1"/>
      </w:pPr>
      <w:r>
        <w:t>Yürürlük ve yürütme</w:t>
      </w:r>
    </w:p>
    <w:p w14:paraId="61FB11A8" w14:textId="77777777" w:rsidR="008E059F" w:rsidRDefault="008E059F">
      <w:pPr>
        <w:pStyle w:val="GvdeMetni"/>
        <w:spacing w:before="2"/>
        <w:rPr>
          <w:b/>
        </w:rPr>
      </w:pPr>
    </w:p>
    <w:p w14:paraId="77E1543C" w14:textId="0D318C62" w:rsidR="008E059F" w:rsidRDefault="00EA339B">
      <w:pPr>
        <w:pStyle w:val="GvdeMetni"/>
        <w:spacing w:line="278" w:lineRule="auto"/>
        <w:ind w:left="216" w:right="280"/>
        <w:jc w:val="both"/>
      </w:pPr>
      <w:r>
        <w:rPr>
          <w:b/>
        </w:rPr>
        <w:t xml:space="preserve">MADDE 26 </w:t>
      </w:r>
      <w:r>
        <w:t xml:space="preserve">– (1) Bu Yönerge, </w:t>
      </w:r>
      <w:r w:rsidR="005546AB">
        <w:t xml:space="preserve">Tekirdağ </w:t>
      </w:r>
      <w:r>
        <w:t>Namık Kemal Üniversitesi Senatosu tarafından kabul edildiği tarihte yürürlüğe g</w:t>
      </w:r>
      <w:r>
        <w:t>irer.</w:t>
      </w:r>
    </w:p>
    <w:p w14:paraId="1A698BD1" w14:textId="21E6CB4C" w:rsidR="008E059F" w:rsidRDefault="00EA339B">
      <w:pPr>
        <w:pStyle w:val="GvdeMetni"/>
        <w:spacing w:before="195"/>
        <w:ind w:left="216"/>
      </w:pPr>
      <w:r>
        <w:rPr>
          <w:b/>
        </w:rPr>
        <w:t xml:space="preserve">MADDE 27 – </w:t>
      </w:r>
      <w:r>
        <w:t xml:space="preserve">(1) Yönerge </w:t>
      </w:r>
      <w:r w:rsidR="005546AB">
        <w:t xml:space="preserve">Tekirdağ </w:t>
      </w:r>
      <w:r>
        <w:t>Namık Kemal Üniversitesi Rektörü tarafından yürütülür.</w:t>
      </w:r>
    </w:p>
    <w:sectPr w:rsidR="008E059F">
      <w:pgSz w:w="11910" w:h="16840"/>
      <w:pgMar w:top="1320" w:right="860" w:bottom="280" w:left="120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2CB9" w14:textId="77777777" w:rsidR="00EA339B" w:rsidRDefault="00EA339B">
      <w:r>
        <w:separator/>
      </w:r>
    </w:p>
  </w:endnote>
  <w:endnote w:type="continuationSeparator" w:id="0">
    <w:p w14:paraId="7DE47807" w14:textId="77777777" w:rsidR="00EA339B" w:rsidRDefault="00E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187D" w14:textId="77777777" w:rsidR="00EA339B" w:rsidRDefault="00EA339B">
      <w:r>
        <w:separator/>
      </w:r>
    </w:p>
  </w:footnote>
  <w:footnote w:type="continuationSeparator" w:id="0">
    <w:p w14:paraId="31FEE198" w14:textId="77777777" w:rsidR="00EA339B" w:rsidRDefault="00E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3C8D" w14:textId="7B76478C" w:rsidR="008E059F" w:rsidRDefault="005F7CCC">
    <w:pPr>
      <w:pStyle w:val="GvdeMetni"/>
      <w:spacing w:line="14" w:lineRule="auto"/>
    </w:pPr>
    <w:r>
      <w:rPr>
        <w:noProof/>
      </w:rPr>
      <mc:AlternateContent>
        <mc:Choice Requires="wps">
          <w:drawing>
            <wp:anchor distT="0" distB="0" distL="114300" distR="114300" simplePos="0" relativeHeight="250525696" behindDoc="1" locked="0" layoutInCell="1" allowOverlap="1" wp14:anchorId="78B8766A" wp14:editId="0380B397">
              <wp:simplePos x="0" y="0"/>
              <wp:positionH relativeFrom="page">
                <wp:posOffset>886460</wp:posOffset>
              </wp:positionH>
              <wp:positionV relativeFrom="page">
                <wp:posOffset>462915</wp:posOffset>
              </wp:positionV>
              <wp:extent cx="70104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D8E6" w14:textId="77777777" w:rsidR="008E059F" w:rsidRDefault="00EA339B">
                          <w:pPr>
                            <w:spacing w:line="245" w:lineRule="exact"/>
                            <w:ind w:left="20"/>
                            <w:rPr>
                              <w:rFonts w:ascii="Calibri"/>
                            </w:rPr>
                          </w:pPr>
                          <w:r>
                            <w:rPr>
                              <w:rFonts w:ascii="Calibri"/>
                            </w:rPr>
                            <w:t>29/07/2008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8766A" id="_x0000_t202" coordsize="21600,21600" o:spt="202" path="m,l,21600r21600,l21600,xe">
              <v:stroke joinstyle="miter"/>
              <v:path gradientshapeok="t" o:connecttype="rect"/>
            </v:shapetype>
            <v:shape id="Text Box 2" o:spid="_x0000_s1026" type="#_x0000_t202" style="position:absolute;margin-left:69.8pt;margin-top:36.45pt;width:55.2pt;height:13.05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" filled="f" stroked="f">
              <v:textbox inset="0,0,0,0">
                <w:txbxContent>
                  <w:p w14:paraId="400DD8E6" w14:textId="77777777" w:rsidR="008E059F" w:rsidRDefault="00EA339B">
                    <w:pPr>
                      <w:spacing w:line="245" w:lineRule="exact"/>
                      <w:ind w:left="20"/>
                      <w:rPr>
                        <w:rFonts w:ascii="Calibri"/>
                      </w:rPr>
                    </w:pPr>
                    <w:r>
                      <w:rPr>
                        <w:rFonts w:ascii="Calibri"/>
                      </w:rPr>
                      <w:t>29/07/2008</w:t>
                    </w:r>
                  </w:p>
                </w:txbxContent>
              </v:textbox>
              <w10:wrap anchorx="page" anchory="page"/>
            </v:shape>
          </w:pict>
        </mc:Fallback>
      </mc:AlternateContent>
    </w:r>
    <w:r>
      <w:rPr>
        <w:noProof/>
      </w:rPr>
      <mc:AlternateContent>
        <mc:Choice Requires="wps">
          <w:drawing>
            <wp:anchor distT="0" distB="0" distL="114300" distR="114300" simplePos="0" relativeHeight="250526720" behindDoc="1" locked="0" layoutInCell="1" allowOverlap="1" wp14:anchorId="57A3C01C" wp14:editId="39200BA9">
              <wp:simplePos x="0" y="0"/>
              <wp:positionH relativeFrom="page">
                <wp:posOffset>5209540</wp:posOffset>
              </wp:positionH>
              <wp:positionV relativeFrom="page">
                <wp:posOffset>462915</wp:posOffset>
              </wp:positionV>
              <wp:extent cx="146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4176D" w14:textId="77777777" w:rsidR="008E059F" w:rsidRDefault="00EA339B">
                          <w:pPr>
                            <w:spacing w:line="245" w:lineRule="exact"/>
                            <w:ind w:left="20"/>
                            <w:rPr>
                              <w:rFonts w:ascii="Calibri" w:hAnsi="Calibri"/>
                            </w:rPr>
                          </w:pPr>
                          <w:r>
                            <w:rPr>
                              <w:rFonts w:ascii="Calibri" w:hAnsi="Calibri"/>
                            </w:rPr>
                            <w:t>Erasmus Koordinatörlüğü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C01C" id="Text Box 1" o:spid="_x0000_s1027" type="#_x0000_t202" style="position:absolute;margin-left:410.2pt;margin-top:36.45pt;width:115.3pt;height:13.05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" filled="f" stroked="f">
              <v:textbox inset="0,0,0,0">
                <w:txbxContent>
                  <w:p w14:paraId="2CD4176D" w14:textId="77777777" w:rsidR="008E059F" w:rsidRDefault="00EA339B">
                    <w:pPr>
                      <w:spacing w:line="245" w:lineRule="exact"/>
                      <w:ind w:left="20"/>
                      <w:rPr>
                        <w:rFonts w:ascii="Calibri" w:hAnsi="Calibri"/>
                      </w:rPr>
                    </w:pPr>
                    <w:r>
                      <w:rPr>
                        <w:rFonts w:ascii="Calibri" w:hAnsi="Calibri"/>
                      </w:rPr>
                      <w:t>Erasmus Koordinatörlüğü</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B99"/>
    <w:multiLevelType w:val="hybridMultilevel"/>
    <w:tmpl w:val="CB52990A"/>
    <w:lvl w:ilvl="0" w:tplc="C08A0A18">
      <w:start w:val="2"/>
      <w:numFmt w:val="decimal"/>
      <w:lvlText w:val="(%1)"/>
      <w:lvlJc w:val="left"/>
      <w:pPr>
        <w:ind w:left="216" w:hanging="365"/>
        <w:jc w:val="left"/>
      </w:pPr>
      <w:rPr>
        <w:rFonts w:ascii="Cambria" w:eastAsia="Cambria" w:hAnsi="Cambria" w:cs="Cambria" w:hint="default"/>
        <w:w w:val="99"/>
        <w:sz w:val="20"/>
        <w:szCs w:val="20"/>
        <w:lang w:val="en-US" w:eastAsia="en-US" w:bidi="en-US"/>
      </w:rPr>
    </w:lvl>
    <w:lvl w:ilvl="1" w:tplc="AD46E0FC">
      <w:numFmt w:val="bullet"/>
      <w:lvlText w:val="•"/>
      <w:lvlJc w:val="left"/>
      <w:pPr>
        <w:ind w:left="1182" w:hanging="365"/>
      </w:pPr>
      <w:rPr>
        <w:rFonts w:hint="default"/>
        <w:lang w:val="en-US" w:eastAsia="en-US" w:bidi="en-US"/>
      </w:rPr>
    </w:lvl>
    <w:lvl w:ilvl="2" w:tplc="C9BE10B6">
      <w:numFmt w:val="bullet"/>
      <w:lvlText w:val="•"/>
      <w:lvlJc w:val="left"/>
      <w:pPr>
        <w:ind w:left="2145" w:hanging="365"/>
      </w:pPr>
      <w:rPr>
        <w:rFonts w:hint="default"/>
        <w:lang w:val="en-US" w:eastAsia="en-US" w:bidi="en-US"/>
      </w:rPr>
    </w:lvl>
    <w:lvl w:ilvl="3" w:tplc="5B86B984">
      <w:numFmt w:val="bullet"/>
      <w:lvlText w:val="•"/>
      <w:lvlJc w:val="left"/>
      <w:pPr>
        <w:ind w:left="3107" w:hanging="365"/>
      </w:pPr>
      <w:rPr>
        <w:rFonts w:hint="default"/>
        <w:lang w:val="en-US" w:eastAsia="en-US" w:bidi="en-US"/>
      </w:rPr>
    </w:lvl>
    <w:lvl w:ilvl="4" w:tplc="AE847FEA">
      <w:numFmt w:val="bullet"/>
      <w:lvlText w:val="•"/>
      <w:lvlJc w:val="left"/>
      <w:pPr>
        <w:ind w:left="4070" w:hanging="365"/>
      </w:pPr>
      <w:rPr>
        <w:rFonts w:hint="default"/>
        <w:lang w:val="en-US" w:eastAsia="en-US" w:bidi="en-US"/>
      </w:rPr>
    </w:lvl>
    <w:lvl w:ilvl="5" w:tplc="C096E3E2">
      <w:numFmt w:val="bullet"/>
      <w:lvlText w:val="•"/>
      <w:lvlJc w:val="left"/>
      <w:pPr>
        <w:ind w:left="5033" w:hanging="365"/>
      </w:pPr>
      <w:rPr>
        <w:rFonts w:hint="default"/>
        <w:lang w:val="en-US" w:eastAsia="en-US" w:bidi="en-US"/>
      </w:rPr>
    </w:lvl>
    <w:lvl w:ilvl="6" w:tplc="194AA74E">
      <w:numFmt w:val="bullet"/>
      <w:lvlText w:val="•"/>
      <w:lvlJc w:val="left"/>
      <w:pPr>
        <w:ind w:left="5995" w:hanging="365"/>
      </w:pPr>
      <w:rPr>
        <w:rFonts w:hint="default"/>
        <w:lang w:val="en-US" w:eastAsia="en-US" w:bidi="en-US"/>
      </w:rPr>
    </w:lvl>
    <w:lvl w:ilvl="7" w:tplc="DE5055FA">
      <w:numFmt w:val="bullet"/>
      <w:lvlText w:val="•"/>
      <w:lvlJc w:val="left"/>
      <w:pPr>
        <w:ind w:left="6958" w:hanging="365"/>
      </w:pPr>
      <w:rPr>
        <w:rFonts w:hint="default"/>
        <w:lang w:val="en-US" w:eastAsia="en-US" w:bidi="en-US"/>
      </w:rPr>
    </w:lvl>
    <w:lvl w:ilvl="8" w:tplc="E514D1DC">
      <w:numFmt w:val="bullet"/>
      <w:lvlText w:val="•"/>
      <w:lvlJc w:val="left"/>
      <w:pPr>
        <w:ind w:left="7921" w:hanging="365"/>
      </w:pPr>
      <w:rPr>
        <w:rFonts w:hint="default"/>
        <w:lang w:val="en-US" w:eastAsia="en-US" w:bidi="en-US"/>
      </w:rPr>
    </w:lvl>
  </w:abstractNum>
  <w:abstractNum w:abstractNumId="1" w15:restartNumberingAfterBreak="0">
    <w:nsid w:val="0B641CFC"/>
    <w:multiLevelType w:val="hybridMultilevel"/>
    <w:tmpl w:val="6E4A658C"/>
    <w:lvl w:ilvl="0" w:tplc="1868C3EA">
      <w:start w:val="2"/>
      <w:numFmt w:val="decimal"/>
      <w:lvlText w:val="(%1)"/>
      <w:lvlJc w:val="left"/>
      <w:pPr>
        <w:ind w:left="216" w:hanging="365"/>
        <w:jc w:val="left"/>
      </w:pPr>
      <w:rPr>
        <w:rFonts w:ascii="Cambria" w:eastAsia="Cambria" w:hAnsi="Cambria" w:cs="Cambria" w:hint="default"/>
        <w:w w:val="99"/>
        <w:sz w:val="20"/>
        <w:szCs w:val="20"/>
        <w:lang w:val="en-US" w:eastAsia="en-US" w:bidi="en-US"/>
      </w:rPr>
    </w:lvl>
    <w:lvl w:ilvl="1" w:tplc="97C8392E">
      <w:numFmt w:val="bullet"/>
      <w:lvlText w:val="•"/>
      <w:lvlJc w:val="left"/>
      <w:pPr>
        <w:ind w:left="1182" w:hanging="365"/>
      </w:pPr>
      <w:rPr>
        <w:rFonts w:hint="default"/>
        <w:lang w:val="en-US" w:eastAsia="en-US" w:bidi="en-US"/>
      </w:rPr>
    </w:lvl>
    <w:lvl w:ilvl="2" w:tplc="F7B21E30">
      <w:numFmt w:val="bullet"/>
      <w:lvlText w:val="•"/>
      <w:lvlJc w:val="left"/>
      <w:pPr>
        <w:ind w:left="2145" w:hanging="365"/>
      </w:pPr>
      <w:rPr>
        <w:rFonts w:hint="default"/>
        <w:lang w:val="en-US" w:eastAsia="en-US" w:bidi="en-US"/>
      </w:rPr>
    </w:lvl>
    <w:lvl w:ilvl="3" w:tplc="9208A5BE">
      <w:numFmt w:val="bullet"/>
      <w:lvlText w:val="•"/>
      <w:lvlJc w:val="left"/>
      <w:pPr>
        <w:ind w:left="3107" w:hanging="365"/>
      </w:pPr>
      <w:rPr>
        <w:rFonts w:hint="default"/>
        <w:lang w:val="en-US" w:eastAsia="en-US" w:bidi="en-US"/>
      </w:rPr>
    </w:lvl>
    <w:lvl w:ilvl="4" w:tplc="D390E1F4">
      <w:numFmt w:val="bullet"/>
      <w:lvlText w:val="•"/>
      <w:lvlJc w:val="left"/>
      <w:pPr>
        <w:ind w:left="4070" w:hanging="365"/>
      </w:pPr>
      <w:rPr>
        <w:rFonts w:hint="default"/>
        <w:lang w:val="en-US" w:eastAsia="en-US" w:bidi="en-US"/>
      </w:rPr>
    </w:lvl>
    <w:lvl w:ilvl="5" w:tplc="13D084D6">
      <w:numFmt w:val="bullet"/>
      <w:lvlText w:val="•"/>
      <w:lvlJc w:val="left"/>
      <w:pPr>
        <w:ind w:left="5033" w:hanging="365"/>
      </w:pPr>
      <w:rPr>
        <w:rFonts w:hint="default"/>
        <w:lang w:val="en-US" w:eastAsia="en-US" w:bidi="en-US"/>
      </w:rPr>
    </w:lvl>
    <w:lvl w:ilvl="6" w:tplc="70002548">
      <w:numFmt w:val="bullet"/>
      <w:lvlText w:val="•"/>
      <w:lvlJc w:val="left"/>
      <w:pPr>
        <w:ind w:left="5995" w:hanging="365"/>
      </w:pPr>
      <w:rPr>
        <w:rFonts w:hint="default"/>
        <w:lang w:val="en-US" w:eastAsia="en-US" w:bidi="en-US"/>
      </w:rPr>
    </w:lvl>
    <w:lvl w:ilvl="7" w:tplc="C37ABFFC">
      <w:numFmt w:val="bullet"/>
      <w:lvlText w:val="•"/>
      <w:lvlJc w:val="left"/>
      <w:pPr>
        <w:ind w:left="6958" w:hanging="365"/>
      </w:pPr>
      <w:rPr>
        <w:rFonts w:hint="default"/>
        <w:lang w:val="en-US" w:eastAsia="en-US" w:bidi="en-US"/>
      </w:rPr>
    </w:lvl>
    <w:lvl w:ilvl="8" w:tplc="B9EC3730">
      <w:numFmt w:val="bullet"/>
      <w:lvlText w:val="•"/>
      <w:lvlJc w:val="left"/>
      <w:pPr>
        <w:ind w:left="7921" w:hanging="365"/>
      </w:pPr>
      <w:rPr>
        <w:rFonts w:hint="default"/>
        <w:lang w:val="en-US" w:eastAsia="en-US" w:bidi="en-US"/>
      </w:rPr>
    </w:lvl>
  </w:abstractNum>
  <w:abstractNum w:abstractNumId="2" w15:restartNumberingAfterBreak="0">
    <w:nsid w:val="25B43357"/>
    <w:multiLevelType w:val="hybridMultilevel"/>
    <w:tmpl w:val="A78E87A4"/>
    <w:lvl w:ilvl="0" w:tplc="1070DA06">
      <w:start w:val="1"/>
      <w:numFmt w:val="lowerLetter"/>
      <w:lvlText w:val="%1)"/>
      <w:lvlJc w:val="left"/>
      <w:pPr>
        <w:ind w:left="434" w:hanging="219"/>
        <w:jc w:val="left"/>
      </w:pPr>
      <w:rPr>
        <w:rFonts w:ascii="Cambria" w:eastAsia="Cambria" w:hAnsi="Cambria" w:cs="Cambria" w:hint="default"/>
        <w:w w:val="99"/>
        <w:sz w:val="20"/>
        <w:szCs w:val="20"/>
        <w:lang w:val="en-US" w:eastAsia="en-US" w:bidi="en-US"/>
      </w:rPr>
    </w:lvl>
    <w:lvl w:ilvl="1" w:tplc="98D6E5D2">
      <w:numFmt w:val="bullet"/>
      <w:lvlText w:val="•"/>
      <w:lvlJc w:val="left"/>
      <w:pPr>
        <w:ind w:left="1380" w:hanging="219"/>
      </w:pPr>
      <w:rPr>
        <w:rFonts w:hint="default"/>
        <w:lang w:val="en-US" w:eastAsia="en-US" w:bidi="en-US"/>
      </w:rPr>
    </w:lvl>
    <w:lvl w:ilvl="2" w:tplc="5DA4FAB0">
      <w:numFmt w:val="bullet"/>
      <w:lvlText w:val="•"/>
      <w:lvlJc w:val="left"/>
      <w:pPr>
        <w:ind w:left="2321" w:hanging="219"/>
      </w:pPr>
      <w:rPr>
        <w:rFonts w:hint="default"/>
        <w:lang w:val="en-US" w:eastAsia="en-US" w:bidi="en-US"/>
      </w:rPr>
    </w:lvl>
    <w:lvl w:ilvl="3" w:tplc="F3386C02">
      <w:numFmt w:val="bullet"/>
      <w:lvlText w:val="•"/>
      <w:lvlJc w:val="left"/>
      <w:pPr>
        <w:ind w:left="3261" w:hanging="219"/>
      </w:pPr>
      <w:rPr>
        <w:rFonts w:hint="default"/>
        <w:lang w:val="en-US" w:eastAsia="en-US" w:bidi="en-US"/>
      </w:rPr>
    </w:lvl>
    <w:lvl w:ilvl="4" w:tplc="0CAED404">
      <w:numFmt w:val="bullet"/>
      <w:lvlText w:val="•"/>
      <w:lvlJc w:val="left"/>
      <w:pPr>
        <w:ind w:left="4202" w:hanging="219"/>
      </w:pPr>
      <w:rPr>
        <w:rFonts w:hint="default"/>
        <w:lang w:val="en-US" w:eastAsia="en-US" w:bidi="en-US"/>
      </w:rPr>
    </w:lvl>
    <w:lvl w:ilvl="5" w:tplc="48126650">
      <w:numFmt w:val="bullet"/>
      <w:lvlText w:val="•"/>
      <w:lvlJc w:val="left"/>
      <w:pPr>
        <w:ind w:left="5143" w:hanging="219"/>
      </w:pPr>
      <w:rPr>
        <w:rFonts w:hint="default"/>
        <w:lang w:val="en-US" w:eastAsia="en-US" w:bidi="en-US"/>
      </w:rPr>
    </w:lvl>
    <w:lvl w:ilvl="6" w:tplc="63088366">
      <w:numFmt w:val="bullet"/>
      <w:lvlText w:val="•"/>
      <w:lvlJc w:val="left"/>
      <w:pPr>
        <w:ind w:left="6083" w:hanging="219"/>
      </w:pPr>
      <w:rPr>
        <w:rFonts w:hint="default"/>
        <w:lang w:val="en-US" w:eastAsia="en-US" w:bidi="en-US"/>
      </w:rPr>
    </w:lvl>
    <w:lvl w:ilvl="7" w:tplc="4642A688">
      <w:numFmt w:val="bullet"/>
      <w:lvlText w:val="•"/>
      <w:lvlJc w:val="left"/>
      <w:pPr>
        <w:ind w:left="7024" w:hanging="219"/>
      </w:pPr>
      <w:rPr>
        <w:rFonts w:hint="default"/>
        <w:lang w:val="en-US" w:eastAsia="en-US" w:bidi="en-US"/>
      </w:rPr>
    </w:lvl>
    <w:lvl w:ilvl="8" w:tplc="1D1895C6">
      <w:numFmt w:val="bullet"/>
      <w:lvlText w:val="•"/>
      <w:lvlJc w:val="left"/>
      <w:pPr>
        <w:ind w:left="7965" w:hanging="219"/>
      </w:pPr>
      <w:rPr>
        <w:rFonts w:hint="default"/>
        <w:lang w:val="en-US" w:eastAsia="en-US" w:bidi="en-US"/>
      </w:rPr>
    </w:lvl>
  </w:abstractNum>
  <w:abstractNum w:abstractNumId="3" w15:restartNumberingAfterBreak="0">
    <w:nsid w:val="31F11591"/>
    <w:multiLevelType w:val="hybridMultilevel"/>
    <w:tmpl w:val="38AED362"/>
    <w:lvl w:ilvl="0" w:tplc="D006EB24">
      <w:start w:val="2"/>
      <w:numFmt w:val="decimal"/>
      <w:lvlText w:val="(%1)"/>
      <w:lvlJc w:val="left"/>
      <w:pPr>
        <w:ind w:left="523" w:hanging="307"/>
        <w:jc w:val="left"/>
      </w:pPr>
      <w:rPr>
        <w:rFonts w:ascii="Cambria" w:eastAsia="Cambria" w:hAnsi="Cambria" w:cs="Cambria" w:hint="default"/>
        <w:w w:val="99"/>
        <w:sz w:val="20"/>
        <w:szCs w:val="20"/>
        <w:lang w:val="en-US" w:eastAsia="en-US" w:bidi="en-US"/>
      </w:rPr>
    </w:lvl>
    <w:lvl w:ilvl="1" w:tplc="4A82D26C">
      <w:numFmt w:val="bullet"/>
      <w:lvlText w:val="•"/>
      <w:lvlJc w:val="left"/>
      <w:pPr>
        <w:ind w:left="1452" w:hanging="307"/>
      </w:pPr>
      <w:rPr>
        <w:rFonts w:hint="default"/>
        <w:lang w:val="en-US" w:eastAsia="en-US" w:bidi="en-US"/>
      </w:rPr>
    </w:lvl>
    <w:lvl w:ilvl="2" w:tplc="FCCE25CE">
      <w:numFmt w:val="bullet"/>
      <w:lvlText w:val="•"/>
      <w:lvlJc w:val="left"/>
      <w:pPr>
        <w:ind w:left="2385" w:hanging="307"/>
      </w:pPr>
      <w:rPr>
        <w:rFonts w:hint="default"/>
        <w:lang w:val="en-US" w:eastAsia="en-US" w:bidi="en-US"/>
      </w:rPr>
    </w:lvl>
    <w:lvl w:ilvl="3" w:tplc="9B5EDEA8">
      <w:numFmt w:val="bullet"/>
      <w:lvlText w:val="•"/>
      <w:lvlJc w:val="left"/>
      <w:pPr>
        <w:ind w:left="3317" w:hanging="307"/>
      </w:pPr>
      <w:rPr>
        <w:rFonts w:hint="default"/>
        <w:lang w:val="en-US" w:eastAsia="en-US" w:bidi="en-US"/>
      </w:rPr>
    </w:lvl>
    <w:lvl w:ilvl="4" w:tplc="51581DEE">
      <w:numFmt w:val="bullet"/>
      <w:lvlText w:val="•"/>
      <w:lvlJc w:val="left"/>
      <w:pPr>
        <w:ind w:left="4250" w:hanging="307"/>
      </w:pPr>
      <w:rPr>
        <w:rFonts w:hint="default"/>
        <w:lang w:val="en-US" w:eastAsia="en-US" w:bidi="en-US"/>
      </w:rPr>
    </w:lvl>
    <w:lvl w:ilvl="5" w:tplc="9418C622">
      <w:numFmt w:val="bullet"/>
      <w:lvlText w:val="•"/>
      <w:lvlJc w:val="left"/>
      <w:pPr>
        <w:ind w:left="5183" w:hanging="307"/>
      </w:pPr>
      <w:rPr>
        <w:rFonts w:hint="default"/>
        <w:lang w:val="en-US" w:eastAsia="en-US" w:bidi="en-US"/>
      </w:rPr>
    </w:lvl>
    <w:lvl w:ilvl="6" w:tplc="9D7E87E0">
      <w:numFmt w:val="bullet"/>
      <w:lvlText w:val="•"/>
      <w:lvlJc w:val="left"/>
      <w:pPr>
        <w:ind w:left="6115" w:hanging="307"/>
      </w:pPr>
      <w:rPr>
        <w:rFonts w:hint="default"/>
        <w:lang w:val="en-US" w:eastAsia="en-US" w:bidi="en-US"/>
      </w:rPr>
    </w:lvl>
    <w:lvl w:ilvl="7" w:tplc="FF32AA78">
      <w:numFmt w:val="bullet"/>
      <w:lvlText w:val="•"/>
      <w:lvlJc w:val="left"/>
      <w:pPr>
        <w:ind w:left="7048" w:hanging="307"/>
      </w:pPr>
      <w:rPr>
        <w:rFonts w:hint="default"/>
        <w:lang w:val="en-US" w:eastAsia="en-US" w:bidi="en-US"/>
      </w:rPr>
    </w:lvl>
    <w:lvl w:ilvl="8" w:tplc="2EB05A4E">
      <w:numFmt w:val="bullet"/>
      <w:lvlText w:val="•"/>
      <w:lvlJc w:val="left"/>
      <w:pPr>
        <w:ind w:left="7981" w:hanging="307"/>
      </w:pPr>
      <w:rPr>
        <w:rFonts w:hint="default"/>
        <w:lang w:val="en-US" w:eastAsia="en-US" w:bidi="en-US"/>
      </w:rPr>
    </w:lvl>
  </w:abstractNum>
  <w:abstractNum w:abstractNumId="4" w15:restartNumberingAfterBreak="0">
    <w:nsid w:val="33B1389E"/>
    <w:multiLevelType w:val="hybridMultilevel"/>
    <w:tmpl w:val="62E8F85C"/>
    <w:lvl w:ilvl="0" w:tplc="75F83B6C">
      <w:start w:val="1"/>
      <w:numFmt w:val="lowerLetter"/>
      <w:lvlText w:val="%1)"/>
      <w:lvlJc w:val="left"/>
      <w:pPr>
        <w:ind w:left="434" w:hanging="219"/>
        <w:jc w:val="left"/>
      </w:pPr>
      <w:rPr>
        <w:rFonts w:ascii="Cambria" w:eastAsia="Cambria" w:hAnsi="Cambria" w:cs="Cambria" w:hint="default"/>
        <w:w w:val="99"/>
        <w:sz w:val="20"/>
        <w:szCs w:val="20"/>
        <w:lang w:val="en-US" w:eastAsia="en-US" w:bidi="en-US"/>
      </w:rPr>
    </w:lvl>
    <w:lvl w:ilvl="1" w:tplc="19703D18">
      <w:numFmt w:val="bullet"/>
      <w:lvlText w:val="•"/>
      <w:lvlJc w:val="left"/>
      <w:pPr>
        <w:ind w:left="1380" w:hanging="219"/>
      </w:pPr>
      <w:rPr>
        <w:rFonts w:hint="default"/>
        <w:lang w:val="en-US" w:eastAsia="en-US" w:bidi="en-US"/>
      </w:rPr>
    </w:lvl>
    <w:lvl w:ilvl="2" w:tplc="3B56AF38">
      <w:numFmt w:val="bullet"/>
      <w:lvlText w:val="•"/>
      <w:lvlJc w:val="left"/>
      <w:pPr>
        <w:ind w:left="2321" w:hanging="219"/>
      </w:pPr>
      <w:rPr>
        <w:rFonts w:hint="default"/>
        <w:lang w:val="en-US" w:eastAsia="en-US" w:bidi="en-US"/>
      </w:rPr>
    </w:lvl>
    <w:lvl w:ilvl="3" w:tplc="7EE6AB7C">
      <w:numFmt w:val="bullet"/>
      <w:lvlText w:val="•"/>
      <w:lvlJc w:val="left"/>
      <w:pPr>
        <w:ind w:left="3261" w:hanging="219"/>
      </w:pPr>
      <w:rPr>
        <w:rFonts w:hint="default"/>
        <w:lang w:val="en-US" w:eastAsia="en-US" w:bidi="en-US"/>
      </w:rPr>
    </w:lvl>
    <w:lvl w:ilvl="4" w:tplc="4A68E642">
      <w:numFmt w:val="bullet"/>
      <w:lvlText w:val="•"/>
      <w:lvlJc w:val="left"/>
      <w:pPr>
        <w:ind w:left="4202" w:hanging="219"/>
      </w:pPr>
      <w:rPr>
        <w:rFonts w:hint="default"/>
        <w:lang w:val="en-US" w:eastAsia="en-US" w:bidi="en-US"/>
      </w:rPr>
    </w:lvl>
    <w:lvl w:ilvl="5" w:tplc="068A485E">
      <w:numFmt w:val="bullet"/>
      <w:lvlText w:val="•"/>
      <w:lvlJc w:val="left"/>
      <w:pPr>
        <w:ind w:left="5143" w:hanging="219"/>
      </w:pPr>
      <w:rPr>
        <w:rFonts w:hint="default"/>
        <w:lang w:val="en-US" w:eastAsia="en-US" w:bidi="en-US"/>
      </w:rPr>
    </w:lvl>
    <w:lvl w:ilvl="6" w:tplc="C1D460B2">
      <w:numFmt w:val="bullet"/>
      <w:lvlText w:val="•"/>
      <w:lvlJc w:val="left"/>
      <w:pPr>
        <w:ind w:left="6083" w:hanging="219"/>
      </w:pPr>
      <w:rPr>
        <w:rFonts w:hint="default"/>
        <w:lang w:val="en-US" w:eastAsia="en-US" w:bidi="en-US"/>
      </w:rPr>
    </w:lvl>
    <w:lvl w:ilvl="7" w:tplc="14345138">
      <w:numFmt w:val="bullet"/>
      <w:lvlText w:val="•"/>
      <w:lvlJc w:val="left"/>
      <w:pPr>
        <w:ind w:left="7024" w:hanging="219"/>
      </w:pPr>
      <w:rPr>
        <w:rFonts w:hint="default"/>
        <w:lang w:val="en-US" w:eastAsia="en-US" w:bidi="en-US"/>
      </w:rPr>
    </w:lvl>
    <w:lvl w:ilvl="8" w:tplc="329AC73A">
      <w:numFmt w:val="bullet"/>
      <w:lvlText w:val="•"/>
      <w:lvlJc w:val="left"/>
      <w:pPr>
        <w:ind w:left="7965" w:hanging="219"/>
      </w:pPr>
      <w:rPr>
        <w:rFonts w:hint="default"/>
        <w:lang w:val="en-US" w:eastAsia="en-US" w:bidi="en-US"/>
      </w:rPr>
    </w:lvl>
  </w:abstractNum>
  <w:abstractNum w:abstractNumId="5" w15:restartNumberingAfterBreak="0">
    <w:nsid w:val="3E323325"/>
    <w:multiLevelType w:val="hybridMultilevel"/>
    <w:tmpl w:val="7B04CA6E"/>
    <w:lvl w:ilvl="0" w:tplc="8CE6CEEE">
      <w:start w:val="1"/>
      <w:numFmt w:val="lowerLetter"/>
      <w:lvlText w:val="%1)"/>
      <w:lvlJc w:val="left"/>
      <w:pPr>
        <w:ind w:left="216" w:hanging="233"/>
        <w:jc w:val="left"/>
      </w:pPr>
      <w:rPr>
        <w:rFonts w:ascii="Cambria" w:eastAsia="Cambria" w:hAnsi="Cambria" w:cs="Cambria" w:hint="default"/>
        <w:w w:val="99"/>
        <w:sz w:val="20"/>
        <w:szCs w:val="20"/>
        <w:lang w:val="en-US" w:eastAsia="en-US" w:bidi="en-US"/>
      </w:rPr>
    </w:lvl>
    <w:lvl w:ilvl="1" w:tplc="09CA0A86">
      <w:numFmt w:val="bullet"/>
      <w:lvlText w:val="•"/>
      <w:lvlJc w:val="left"/>
      <w:pPr>
        <w:ind w:left="1182" w:hanging="233"/>
      </w:pPr>
      <w:rPr>
        <w:rFonts w:hint="default"/>
        <w:lang w:val="en-US" w:eastAsia="en-US" w:bidi="en-US"/>
      </w:rPr>
    </w:lvl>
    <w:lvl w:ilvl="2" w:tplc="201E8124">
      <w:numFmt w:val="bullet"/>
      <w:lvlText w:val="•"/>
      <w:lvlJc w:val="left"/>
      <w:pPr>
        <w:ind w:left="2145" w:hanging="233"/>
      </w:pPr>
      <w:rPr>
        <w:rFonts w:hint="default"/>
        <w:lang w:val="en-US" w:eastAsia="en-US" w:bidi="en-US"/>
      </w:rPr>
    </w:lvl>
    <w:lvl w:ilvl="3" w:tplc="A6905762">
      <w:numFmt w:val="bullet"/>
      <w:lvlText w:val="•"/>
      <w:lvlJc w:val="left"/>
      <w:pPr>
        <w:ind w:left="3107" w:hanging="233"/>
      </w:pPr>
      <w:rPr>
        <w:rFonts w:hint="default"/>
        <w:lang w:val="en-US" w:eastAsia="en-US" w:bidi="en-US"/>
      </w:rPr>
    </w:lvl>
    <w:lvl w:ilvl="4" w:tplc="DDB02214">
      <w:numFmt w:val="bullet"/>
      <w:lvlText w:val="•"/>
      <w:lvlJc w:val="left"/>
      <w:pPr>
        <w:ind w:left="4070" w:hanging="233"/>
      </w:pPr>
      <w:rPr>
        <w:rFonts w:hint="default"/>
        <w:lang w:val="en-US" w:eastAsia="en-US" w:bidi="en-US"/>
      </w:rPr>
    </w:lvl>
    <w:lvl w:ilvl="5" w:tplc="A7085C24">
      <w:numFmt w:val="bullet"/>
      <w:lvlText w:val="•"/>
      <w:lvlJc w:val="left"/>
      <w:pPr>
        <w:ind w:left="5033" w:hanging="233"/>
      </w:pPr>
      <w:rPr>
        <w:rFonts w:hint="default"/>
        <w:lang w:val="en-US" w:eastAsia="en-US" w:bidi="en-US"/>
      </w:rPr>
    </w:lvl>
    <w:lvl w:ilvl="6" w:tplc="29BA3B90">
      <w:numFmt w:val="bullet"/>
      <w:lvlText w:val="•"/>
      <w:lvlJc w:val="left"/>
      <w:pPr>
        <w:ind w:left="5995" w:hanging="233"/>
      </w:pPr>
      <w:rPr>
        <w:rFonts w:hint="default"/>
        <w:lang w:val="en-US" w:eastAsia="en-US" w:bidi="en-US"/>
      </w:rPr>
    </w:lvl>
    <w:lvl w:ilvl="7" w:tplc="8A1A682C">
      <w:numFmt w:val="bullet"/>
      <w:lvlText w:val="•"/>
      <w:lvlJc w:val="left"/>
      <w:pPr>
        <w:ind w:left="6958" w:hanging="233"/>
      </w:pPr>
      <w:rPr>
        <w:rFonts w:hint="default"/>
        <w:lang w:val="en-US" w:eastAsia="en-US" w:bidi="en-US"/>
      </w:rPr>
    </w:lvl>
    <w:lvl w:ilvl="8" w:tplc="C224727C">
      <w:numFmt w:val="bullet"/>
      <w:lvlText w:val="•"/>
      <w:lvlJc w:val="left"/>
      <w:pPr>
        <w:ind w:left="7921" w:hanging="233"/>
      </w:pPr>
      <w:rPr>
        <w:rFonts w:hint="default"/>
        <w:lang w:val="en-US" w:eastAsia="en-US" w:bidi="en-US"/>
      </w:rPr>
    </w:lvl>
  </w:abstractNum>
  <w:abstractNum w:abstractNumId="6" w15:restartNumberingAfterBreak="0">
    <w:nsid w:val="43073565"/>
    <w:multiLevelType w:val="hybridMultilevel"/>
    <w:tmpl w:val="2E3E68B2"/>
    <w:lvl w:ilvl="0" w:tplc="E81C0CA0">
      <w:start w:val="1"/>
      <w:numFmt w:val="lowerLetter"/>
      <w:lvlText w:val="%1)"/>
      <w:lvlJc w:val="left"/>
      <w:pPr>
        <w:ind w:left="434" w:hanging="219"/>
        <w:jc w:val="left"/>
      </w:pPr>
      <w:rPr>
        <w:rFonts w:ascii="Cambria" w:eastAsia="Cambria" w:hAnsi="Cambria" w:cs="Cambria" w:hint="default"/>
        <w:w w:val="99"/>
        <w:sz w:val="20"/>
        <w:szCs w:val="20"/>
        <w:lang w:val="en-US" w:eastAsia="en-US" w:bidi="en-US"/>
      </w:rPr>
    </w:lvl>
    <w:lvl w:ilvl="1" w:tplc="DA7A2288">
      <w:numFmt w:val="bullet"/>
      <w:lvlText w:val="•"/>
      <w:lvlJc w:val="left"/>
      <w:pPr>
        <w:ind w:left="1380" w:hanging="219"/>
      </w:pPr>
      <w:rPr>
        <w:rFonts w:hint="default"/>
        <w:lang w:val="en-US" w:eastAsia="en-US" w:bidi="en-US"/>
      </w:rPr>
    </w:lvl>
    <w:lvl w:ilvl="2" w:tplc="3C70242E">
      <w:numFmt w:val="bullet"/>
      <w:lvlText w:val="•"/>
      <w:lvlJc w:val="left"/>
      <w:pPr>
        <w:ind w:left="2321" w:hanging="219"/>
      </w:pPr>
      <w:rPr>
        <w:rFonts w:hint="default"/>
        <w:lang w:val="en-US" w:eastAsia="en-US" w:bidi="en-US"/>
      </w:rPr>
    </w:lvl>
    <w:lvl w:ilvl="3" w:tplc="5B60C66C">
      <w:numFmt w:val="bullet"/>
      <w:lvlText w:val="•"/>
      <w:lvlJc w:val="left"/>
      <w:pPr>
        <w:ind w:left="3261" w:hanging="219"/>
      </w:pPr>
      <w:rPr>
        <w:rFonts w:hint="default"/>
        <w:lang w:val="en-US" w:eastAsia="en-US" w:bidi="en-US"/>
      </w:rPr>
    </w:lvl>
    <w:lvl w:ilvl="4" w:tplc="CE20261E">
      <w:numFmt w:val="bullet"/>
      <w:lvlText w:val="•"/>
      <w:lvlJc w:val="left"/>
      <w:pPr>
        <w:ind w:left="4202" w:hanging="219"/>
      </w:pPr>
      <w:rPr>
        <w:rFonts w:hint="default"/>
        <w:lang w:val="en-US" w:eastAsia="en-US" w:bidi="en-US"/>
      </w:rPr>
    </w:lvl>
    <w:lvl w:ilvl="5" w:tplc="C694CB1E">
      <w:numFmt w:val="bullet"/>
      <w:lvlText w:val="•"/>
      <w:lvlJc w:val="left"/>
      <w:pPr>
        <w:ind w:left="5143" w:hanging="219"/>
      </w:pPr>
      <w:rPr>
        <w:rFonts w:hint="default"/>
        <w:lang w:val="en-US" w:eastAsia="en-US" w:bidi="en-US"/>
      </w:rPr>
    </w:lvl>
    <w:lvl w:ilvl="6" w:tplc="D5DE1C1C">
      <w:numFmt w:val="bullet"/>
      <w:lvlText w:val="•"/>
      <w:lvlJc w:val="left"/>
      <w:pPr>
        <w:ind w:left="6083" w:hanging="219"/>
      </w:pPr>
      <w:rPr>
        <w:rFonts w:hint="default"/>
        <w:lang w:val="en-US" w:eastAsia="en-US" w:bidi="en-US"/>
      </w:rPr>
    </w:lvl>
    <w:lvl w:ilvl="7" w:tplc="C3F6571C">
      <w:numFmt w:val="bullet"/>
      <w:lvlText w:val="•"/>
      <w:lvlJc w:val="left"/>
      <w:pPr>
        <w:ind w:left="7024" w:hanging="219"/>
      </w:pPr>
      <w:rPr>
        <w:rFonts w:hint="default"/>
        <w:lang w:val="en-US" w:eastAsia="en-US" w:bidi="en-US"/>
      </w:rPr>
    </w:lvl>
    <w:lvl w:ilvl="8" w:tplc="5ED46CDC">
      <w:numFmt w:val="bullet"/>
      <w:lvlText w:val="•"/>
      <w:lvlJc w:val="left"/>
      <w:pPr>
        <w:ind w:left="7965" w:hanging="219"/>
      </w:pPr>
      <w:rPr>
        <w:rFonts w:hint="default"/>
        <w:lang w:val="en-US" w:eastAsia="en-US" w:bidi="en-US"/>
      </w:rPr>
    </w:lvl>
  </w:abstractNum>
  <w:abstractNum w:abstractNumId="7" w15:restartNumberingAfterBreak="0">
    <w:nsid w:val="482E53CD"/>
    <w:multiLevelType w:val="hybridMultilevel"/>
    <w:tmpl w:val="6B7CFCCA"/>
    <w:lvl w:ilvl="0" w:tplc="6A6E5EE8">
      <w:start w:val="1"/>
      <w:numFmt w:val="lowerLetter"/>
      <w:lvlText w:val="%1)"/>
      <w:lvlJc w:val="left"/>
      <w:pPr>
        <w:ind w:left="434" w:hanging="219"/>
        <w:jc w:val="left"/>
      </w:pPr>
      <w:rPr>
        <w:rFonts w:ascii="Cambria" w:eastAsia="Cambria" w:hAnsi="Cambria" w:cs="Cambria" w:hint="default"/>
        <w:w w:val="99"/>
        <w:sz w:val="20"/>
        <w:szCs w:val="20"/>
        <w:lang w:val="en-US" w:eastAsia="en-US" w:bidi="en-US"/>
      </w:rPr>
    </w:lvl>
    <w:lvl w:ilvl="1" w:tplc="839A0922">
      <w:numFmt w:val="bullet"/>
      <w:lvlText w:val="•"/>
      <w:lvlJc w:val="left"/>
      <w:pPr>
        <w:ind w:left="1380" w:hanging="219"/>
      </w:pPr>
      <w:rPr>
        <w:rFonts w:hint="default"/>
        <w:lang w:val="en-US" w:eastAsia="en-US" w:bidi="en-US"/>
      </w:rPr>
    </w:lvl>
    <w:lvl w:ilvl="2" w:tplc="C8CE3632">
      <w:numFmt w:val="bullet"/>
      <w:lvlText w:val="•"/>
      <w:lvlJc w:val="left"/>
      <w:pPr>
        <w:ind w:left="2321" w:hanging="219"/>
      </w:pPr>
      <w:rPr>
        <w:rFonts w:hint="default"/>
        <w:lang w:val="en-US" w:eastAsia="en-US" w:bidi="en-US"/>
      </w:rPr>
    </w:lvl>
    <w:lvl w:ilvl="3" w:tplc="9A3A1822">
      <w:numFmt w:val="bullet"/>
      <w:lvlText w:val="•"/>
      <w:lvlJc w:val="left"/>
      <w:pPr>
        <w:ind w:left="3261" w:hanging="219"/>
      </w:pPr>
      <w:rPr>
        <w:rFonts w:hint="default"/>
        <w:lang w:val="en-US" w:eastAsia="en-US" w:bidi="en-US"/>
      </w:rPr>
    </w:lvl>
    <w:lvl w:ilvl="4" w:tplc="3A842E64">
      <w:numFmt w:val="bullet"/>
      <w:lvlText w:val="•"/>
      <w:lvlJc w:val="left"/>
      <w:pPr>
        <w:ind w:left="4202" w:hanging="219"/>
      </w:pPr>
      <w:rPr>
        <w:rFonts w:hint="default"/>
        <w:lang w:val="en-US" w:eastAsia="en-US" w:bidi="en-US"/>
      </w:rPr>
    </w:lvl>
    <w:lvl w:ilvl="5" w:tplc="FD567D4A">
      <w:numFmt w:val="bullet"/>
      <w:lvlText w:val="•"/>
      <w:lvlJc w:val="left"/>
      <w:pPr>
        <w:ind w:left="5143" w:hanging="219"/>
      </w:pPr>
      <w:rPr>
        <w:rFonts w:hint="default"/>
        <w:lang w:val="en-US" w:eastAsia="en-US" w:bidi="en-US"/>
      </w:rPr>
    </w:lvl>
    <w:lvl w:ilvl="6" w:tplc="12B4F604">
      <w:numFmt w:val="bullet"/>
      <w:lvlText w:val="•"/>
      <w:lvlJc w:val="left"/>
      <w:pPr>
        <w:ind w:left="6083" w:hanging="219"/>
      </w:pPr>
      <w:rPr>
        <w:rFonts w:hint="default"/>
        <w:lang w:val="en-US" w:eastAsia="en-US" w:bidi="en-US"/>
      </w:rPr>
    </w:lvl>
    <w:lvl w:ilvl="7" w:tplc="BE740CE8">
      <w:numFmt w:val="bullet"/>
      <w:lvlText w:val="•"/>
      <w:lvlJc w:val="left"/>
      <w:pPr>
        <w:ind w:left="7024" w:hanging="219"/>
      </w:pPr>
      <w:rPr>
        <w:rFonts w:hint="default"/>
        <w:lang w:val="en-US" w:eastAsia="en-US" w:bidi="en-US"/>
      </w:rPr>
    </w:lvl>
    <w:lvl w:ilvl="8" w:tplc="83887184">
      <w:numFmt w:val="bullet"/>
      <w:lvlText w:val="•"/>
      <w:lvlJc w:val="left"/>
      <w:pPr>
        <w:ind w:left="7965" w:hanging="219"/>
      </w:pPr>
      <w:rPr>
        <w:rFonts w:hint="default"/>
        <w:lang w:val="en-US" w:eastAsia="en-US" w:bidi="en-US"/>
      </w:rPr>
    </w:lvl>
  </w:abstractNum>
  <w:abstractNum w:abstractNumId="8" w15:restartNumberingAfterBreak="0">
    <w:nsid w:val="4DE80860"/>
    <w:multiLevelType w:val="hybridMultilevel"/>
    <w:tmpl w:val="D83C2DC4"/>
    <w:lvl w:ilvl="0" w:tplc="13CE2FB2">
      <w:start w:val="1"/>
      <w:numFmt w:val="lowerLetter"/>
      <w:lvlText w:val="%1)"/>
      <w:lvlJc w:val="left"/>
      <w:pPr>
        <w:ind w:left="216" w:hanging="228"/>
        <w:jc w:val="left"/>
      </w:pPr>
      <w:rPr>
        <w:rFonts w:ascii="Cambria" w:eastAsia="Cambria" w:hAnsi="Cambria" w:cs="Cambria" w:hint="default"/>
        <w:w w:val="99"/>
        <w:sz w:val="20"/>
        <w:szCs w:val="20"/>
        <w:lang w:val="en-US" w:eastAsia="en-US" w:bidi="en-US"/>
      </w:rPr>
    </w:lvl>
    <w:lvl w:ilvl="1" w:tplc="293E814E">
      <w:numFmt w:val="bullet"/>
      <w:lvlText w:val="•"/>
      <w:lvlJc w:val="left"/>
      <w:pPr>
        <w:ind w:left="1182" w:hanging="228"/>
      </w:pPr>
      <w:rPr>
        <w:rFonts w:hint="default"/>
        <w:lang w:val="en-US" w:eastAsia="en-US" w:bidi="en-US"/>
      </w:rPr>
    </w:lvl>
    <w:lvl w:ilvl="2" w:tplc="1C321CDA">
      <w:numFmt w:val="bullet"/>
      <w:lvlText w:val="•"/>
      <w:lvlJc w:val="left"/>
      <w:pPr>
        <w:ind w:left="2145" w:hanging="228"/>
      </w:pPr>
      <w:rPr>
        <w:rFonts w:hint="default"/>
        <w:lang w:val="en-US" w:eastAsia="en-US" w:bidi="en-US"/>
      </w:rPr>
    </w:lvl>
    <w:lvl w:ilvl="3" w:tplc="4450065A">
      <w:numFmt w:val="bullet"/>
      <w:lvlText w:val="•"/>
      <w:lvlJc w:val="left"/>
      <w:pPr>
        <w:ind w:left="3107" w:hanging="228"/>
      </w:pPr>
      <w:rPr>
        <w:rFonts w:hint="default"/>
        <w:lang w:val="en-US" w:eastAsia="en-US" w:bidi="en-US"/>
      </w:rPr>
    </w:lvl>
    <w:lvl w:ilvl="4" w:tplc="16AC0274">
      <w:numFmt w:val="bullet"/>
      <w:lvlText w:val="•"/>
      <w:lvlJc w:val="left"/>
      <w:pPr>
        <w:ind w:left="4070" w:hanging="228"/>
      </w:pPr>
      <w:rPr>
        <w:rFonts w:hint="default"/>
        <w:lang w:val="en-US" w:eastAsia="en-US" w:bidi="en-US"/>
      </w:rPr>
    </w:lvl>
    <w:lvl w:ilvl="5" w:tplc="9CD08652">
      <w:numFmt w:val="bullet"/>
      <w:lvlText w:val="•"/>
      <w:lvlJc w:val="left"/>
      <w:pPr>
        <w:ind w:left="5033" w:hanging="228"/>
      </w:pPr>
      <w:rPr>
        <w:rFonts w:hint="default"/>
        <w:lang w:val="en-US" w:eastAsia="en-US" w:bidi="en-US"/>
      </w:rPr>
    </w:lvl>
    <w:lvl w:ilvl="6" w:tplc="90C4446C">
      <w:numFmt w:val="bullet"/>
      <w:lvlText w:val="•"/>
      <w:lvlJc w:val="left"/>
      <w:pPr>
        <w:ind w:left="5995" w:hanging="228"/>
      </w:pPr>
      <w:rPr>
        <w:rFonts w:hint="default"/>
        <w:lang w:val="en-US" w:eastAsia="en-US" w:bidi="en-US"/>
      </w:rPr>
    </w:lvl>
    <w:lvl w:ilvl="7" w:tplc="3820B408">
      <w:numFmt w:val="bullet"/>
      <w:lvlText w:val="•"/>
      <w:lvlJc w:val="left"/>
      <w:pPr>
        <w:ind w:left="6958" w:hanging="228"/>
      </w:pPr>
      <w:rPr>
        <w:rFonts w:hint="default"/>
        <w:lang w:val="en-US" w:eastAsia="en-US" w:bidi="en-US"/>
      </w:rPr>
    </w:lvl>
    <w:lvl w:ilvl="8" w:tplc="316A11AA">
      <w:numFmt w:val="bullet"/>
      <w:lvlText w:val="•"/>
      <w:lvlJc w:val="left"/>
      <w:pPr>
        <w:ind w:left="7921" w:hanging="228"/>
      </w:pPr>
      <w:rPr>
        <w:rFonts w:hint="default"/>
        <w:lang w:val="en-US" w:eastAsia="en-US" w:bidi="en-US"/>
      </w:rPr>
    </w:lvl>
  </w:abstractNum>
  <w:abstractNum w:abstractNumId="9" w15:restartNumberingAfterBreak="0">
    <w:nsid w:val="4F5D6623"/>
    <w:multiLevelType w:val="hybridMultilevel"/>
    <w:tmpl w:val="2B827C72"/>
    <w:lvl w:ilvl="0" w:tplc="8F52E8CA">
      <w:start w:val="2"/>
      <w:numFmt w:val="decimal"/>
      <w:lvlText w:val="(%1)"/>
      <w:lvlJc w:val="left"/>
      <w:pPr>
        <w:ind w:left="216" w:hanging="355"/>
        <w:jc w:val="left"/>
      </w:pPr>
      <w:rPr>
        <w:rFonts w:ascii="Cambria" w:eastAsia="Cambria" w:hAnsi="Cambria" w:cs="Cambria" w:hint="default"/>
        <w:w w:val="99"/>
        <w:sz w:val="20"/>
        <w:szCs w:val="20"/>
        <w:lang w:val="en-US" w:eastAsia="en-US" w:bidi="en-US"/>
      </w:rPr>
    </w:lvl>
    <w:lvl w:ilvl="1" w:tplc="1DB6158C">
      <w:numFmt w:val="bullet"/>
      <w:lvlText w:val="•"/>
      <w:lvlJc w:val="left"/>
      <w:pPr>
        <w:ind w:left="1182" w:hanging="355"/>
      </w:pPr>
      <w:rPr>
        <w:rFonts w:hint="default"/>
        <w:lang w:val="en-US" w:eastAsia="en-US" w:bidi="en-US"/>
      </w:rPr>
    </w:lvl>
    <w:lvl w:ilvl="2" w:tplc="F676C642">
      <w:numFmt w:val="bullet"/>
      <w:lvlText w:val="•"/>
      <w:lvlJc w:val="left"/>
      <w:pPr>
        <w:ind w:left="2145" w:hanging="355"/>
      </w:pPr>
      <w:rPr>
        <w:rFonts w:hint="default"/>
        <w:lang w:val="en-US" w:eastAsia="en-US" w:bidi="en-US"/>
      </w:rPr>
    </w:lvl>
    <w:lvl w:ilvl="3" w:tplc="89482D3C">
      <w:numFmt w:val="bullet"/>
      <w:lvlText w:val="•"/>
      <w:lvlJc w:val="left"/>
      <w:pPr>
        <w:ind w:left="3107" w:hanging="355"/>
      </w:pPr>
      <w:rPr>
        <w:rFonts w:hint="default"/>
        <w:lang w:val="en-US" w:eastAsia="en-US" w:bidi="en-US"/>
      </w:rPr>
    </w:lvl>
    <w:lvl w:ilvl="4" w:tplc="A1189970">
      <w:numFmt w:val="bullet"/>
      <w:lvlText w:val="•"/>
      <w:lvlJc w:val="left"/>
      <w:pPr>
        <w:ind w:left="4070" w:hanging="355"/>
      </w:pPr>
      <w:rPr>
        <w:rFonts w:hint="default"/>
        <w:lang w:val="en-US" w:eastAsia="en-US" w:bidi="en-US"/>
      </w:rPr>
    </w:lvl>
    <w:lvl w:ilvl="5" w:tplc="00A4DED2">
      <w:numFmt w:val="bullet"/>
      <w:lvlText w:val="•"/>
      <w:lvlJc w:val="left"/>
      <w:pPr>
        <w:ind w:left="5033" w:hanging="355"/>
      </w:pPr>
      <w:rPr>
        <w:rFonts w:hint="default"/>
        <w:lang w:val="en-US" w:eastAsia="en-US" w:bidi="en-US"/>
      </w:rPr>
    </w:lvl>
    <w:lvl w:ilvl="6" w:tplc="E1E2452A">
      <w:numFmt w:val="bullet"/>
      <w:lvlText w:val="•"/>
      <w:lvlJc w:val="left"/>
      <w:pPr>
        <w:ind w:left="5995" w:hanging="355"/>
      </w:pPr>
      <w:rPr>
        <w:rFonts w:hint="default"/>
        <w:lang w:val="en-US" w:eastAsia="en-US" w:bidi="en-US"/>
      </w:rPr>
    </w:lvl>
    <w:lvl w:ilvl="7" w:tplc="AA1A4774">
      <w:numFmt w:val="bullet"/>
      <w:lvlText w:val="•"/>
      <w:lvlJc w:val="left"/>
      <w:pPr>
        <w:ind w:left="6958" w:hanging="355"/>
      </w:pPr>
      <w:rPr>
        <w:rFonts w:hint="default"/>
        <w:lang w:val="en-US" w:eastAsia="en-US" w:bidi="en-US"/>
      </w:rPr>
    </w:lvl>
    <w:lvl w:ilvl="8" w:tplc="9774D0E4">
      <w:numFmt w:val="bullet"/>
      <w:lvlText w:val="•"/>
      <w:lvlJc w:val="left"/>
      <w:pPr>
        <w:ind w:left="7921" w:hanging="355"/>
      </w:pPr>
      <w:rPr>
        <w:rFonts w:hint="default"/>
        <w:lang w:val="en-US" w:eastAsia="en-US" w:bidi="en-US"/>
      </w:rPr>
    </w:lvl>
  </w:abstractNum>
  <w:abstractNum w:abstractNumId="10" w15:restartNumberingAfterBreak="0">
    <w:nsid w:val="504A68D2"/>
    <w:multiLevelType w:val="hybridMultilevel"/>
    <w:tmpl w:val="27B4A072"/>
    <w:lvl w:ilvl="0" w:tplc="D062F4CA">
      <w:start w:val="2"/>
      <w:numFmt w:val="decimal"/>
      <w:lvlText w:val="(%1)"/>
      <w:lvlJc w:val="left"/>
      <w:pPr>
        <w:ind w:left="216" w:hanging="314"/>
        <w:jc w:val="left"/>
      </w:pPr>
      <w:rPr>
        <w:rFonts w:ascii="Cambria" w:eastAsia="Cambria" w:hAnsi="Cambria" w:cs="Cambria" w:hint="default"/>
        <w:w w:val="99"/>
        <w:sz w:val="20"/>
        <w:szCs w:val="20"/>
        <w:lang w:val="en-US" w:eastAsia="en-US" w:bidi="en-US"/>
      </w:rPr>
    </w:lvl>
    <w:lvl w:ilvl="1" w:tplc="8D10222A">
      <w:numFmt w:val="bullet"/>
      <w:lvlText w:val="•"/>
      <w:lvlJc w:val="left"/>
      <w:pPr>
        <w:ind w:left="1182" w:hanging="314"/>
      </w:pPr>
      <w:rPr>
        <w:rFonts w:hint="default"/>
        <w:lang w:val="en-US" w:eastAsia="en-US" w:bidi="en-US"/>
      </w:rPr>
    </w:lvl>
    <w:lvl w:ilvl="2" w:tplc="19E267B2">
      <w:numFmt w:val="bullet"/>
      <w:lvlText w:val="•"/>
      <w:lvlJc w:val="left"/>
      <w:pPr>
        <w:ind w:left="2145" w:hanging="314"/>
      </w:pPr>
      <w:rPr>
        <w:rFonts w:hint="default"/>
        <w:lang w:val="en-US" w:eastAsia="en-US" w:bidi="en-US"/>
      </w:rPr>
    </w:lvl>
    <w:lvl w:ilvl="3" w:tplc="95FEA106">
      <w:numFmt w:val="bullet"/>
      <w:lvlText w:val="•"/>
      <w:lvlJc w:val="left"/>
      <w:pPr>
        <w:ind w:left="3107" w:hanging="314"/>
      </w:pPr>
      <w:rPr>
        <w:rFonts w:hint="default"/>
        <w:lang w:val="en-US" w:eastAsia="en-US" w:bidi="en-US"/>
      </w:rPr>
    </w:lvl>
    <w:lvl w:ilvl="4" w:tplc="EEC223E2">
      <w:numFmt w:val="bullet"/>
      <w:lvlText w:val="•"/>
      <w:lvlJc w:val="left"/>
      <w:pPr>
        <w:ind w:left="4070" w:hanging="314"/>
      </w:pPr>
      <w:rPr>
        <w:rFonts w:hint="default"/>
        <w:lang w:val="en-US" w:eastAsia="en-US" w:bidi="en-US"/>
      </w:rPr>
    </w:lvl>
    <w:lvl w:ilvl="5" w:tplc="F8C89BA4">
      <w:numFmt w:val="bullet"/>
      <w:lvlText w:val="•"/>
      <w:lvlJc w:val="left"/>
      <w:pPr>
        <w:ind w:left="5033" w:hanging="314"/>
      </w:pPr>
      <w:rPr>
        <w:rFonts w:hint="default"/>
        <w:lang w:val="en-US" w:eastAsia="en-US" w:bidi="en-US"/>
      </w:rPr>
    </w:lvl>
    <w:lvl w:ilvl="6" w:tplc="7850233C">
      <w:numFmt w:val="bullet"/>
      <w:lvlText w:val="•"/>
      <w:lvlJc w:val="left"/>
      <w:pPr>
        <w:ind w:left="5995" w:hanging="314"/>
      </w:pPr>
      <w:rPr>
        <w:rFonts w:hint="default"/>
        <w:lang w:val="en-US" w:eastAsia="en-US" w:bidi="en-US"/>
      </w:rPr>
    </w:lvl>
    <w:lvl w:ilvl="7" w:tplc="FC001EC4">
      <w:numFmt w:val="bullet"/>
      <w:lvlText w:val="•"/>
      <w:lvlJc w:val="left"/>
      <w:pPr>
        <w:ind w:left="6958" w:hanging="314"/>
      </w:pPr>
      <w:rPr>
        <w:rFonts w:hint="default"/>
        <w:lang w:val="en-US" w:eastAsia="en-US" w:bidi="en-US"/>
      </w:rPr>
    </w:lvl>
    <w:lvl w:ilvl="8" w:tplc="A760B470">
      <w:numFmt w:val="bullet"/>
      <w:lvlText w:val="•"/>
      <w:lvlJc w:val="left"/>
      <w:pPr>
        <w:ind w:left="7921" w:hanging="314"/>
      </w:pPr>
      <w:rPr>
        <w:rFonts w:hint="default"/>
        <w:lang w:val="en-US" w:eastAsia="en-US" w:bidi="en-US"/>
      </w:rPr>
    </w:lvl>
  </w:abstractNum>
  <w:abstractNum w:abstractNumId="11" w15:restartNumberingAfterBreak="0">
    <w:nsid w:val="615D692B"/>
    <w:multiLevelType w:val="hybridMultilevel"/>
    <w:tmpl w:val="C71C05C8"/>
    <w:lvl w:ilvl="0" w:tplc="29B0B906">
      <w:start w:val="2"/>
      <w:numFmt w:val="decimal"/>
      <w:lvlText w:val="(%1)"/>
      <w:lvlJc w:val="left"/>
      <w:pPr>
        <w:ind w:left="216" w:hanging="312"/>
        <w:jc w:val="left"/>
      </w:pPr>
      <w:rPr>
        <w:rFonts w:ascii="Cambria" w:eastAsia="Cambria" w:hAnsi="Cambria" w:cs="Cambria" w:hint="default"/>
        <w:w w:val="99"/>
        <w:sz w:val="20"/>
        <w:szCs w:val="20"/>
        <w:lang w:val="en-US" w:eastAsia="en-US" w:bidi="en-US"/>
      </w:rPr>
    </w:lvl>
    <w:lvl w:ilvl="1" w:tplc="B5203878">
      <w:numFmt w:val="bullet"/>
      <w:lvlText w:val="•"/>
      <w:lvlJc w:val="left"/>
      <w:pPr>
        <w:ind w:left="1182" w:hanging="312"/>
      </w:pPr>
      <w:rPr>
        <w:rFonts w:hint="default"/>
        <w:lang w:val="en-US" w:eastAsia="en-US" w:bidi="en-US"/>
      </w:rPr>
    </w:lvl>
    <w:lvl w:ilvl="2" w:tplc="B92EA1D6">
      <w:numFmt w:val="bullet"/>
      <w:lvlText w:val="•"/>
      <w:lvlJc w:val="left"/>
      <w:pPr>
        <w:ind w:left="2145" w:hanging="312"/>
      </w:pPr>
      <w:rPr>
        <w:rFonts w:hint="default"/>
        <w:lang w:val="en-US" w:eastAsia="en-US" w:bidi="en-US"/>
      </w:rPr>
    </w:lvl>
    <w:lvl w:ilvl="3" w:tplc="01B02E0E">
      <w:numFmt w:val="bullet"/>
      <w:lvlText w:val="•"/>
      <w:lvlJc w:val="left"/>
      <w:pPr>
        <w:ind w:left="3107" w:hanging="312"/>
      </w:pPr>
      <w:rPr>
        <w:rFonts w:hint="default"/>
        <w:lang w:val="en-US" w:eastAsia="en-US" w:bidi="en-US"/>
      </w:rPr>
    </w:lvl>
    <w:lvl w:ilvl="4" w:tplc="33E2DFC4">
      <w:numFmt w:val="bullet"/>
      <w:lvlText w:val="•"/>
      <w:lvlJc w:val="left"/>
      <w:pPr>
        <w:ind w:left="4070" w:hanging="312"/>
      </w:pPr>
      <w:rPr>
        <w:rFonts w:hint="default"/>
        <w:lang w:val="en-US" w:eastAsia="en-US" w:bidi="en-US"/>
      </w:rPr>
    </w:lvl>
    <w:lvl w:ilvl="5" w:tplc="E27072C2">
      <w:numFmt w:val="bullet"/>
      <w:lvlText w:val="•"/>
      <w:lvlJc w:val="left"/>
      <w:pPr>
        <w:ind w:left="5033" w:hanging="312"/>
      </w:pPr>
      <w:rPr>
        <w:rFonts w:hint="default"/>
        <w:lang w:val="en-US" w:eastAsia="en-US" w:bidi="en-US"/>
      </w:rPr>
    </w:lvl>
    <w:lvl w:ilvl="6" w:tplc="DD4E9638">
      <w:numFmt w:val="bullet"/>
      <w:lvlText w:val="•"/>
      <w:lvlJc w:val="left"/>
      <w:pPr>
        <w:ind w:left="5995" w:hanging="312"/>
      </w:pPr>
      <w:rPr>
        <w:rFonts w:hint="default"/>
        <w:lang w:val="en-US" w:eastAsia="en-US" w:bidi="en-US"/>
      </w:rPr>
    </w:lvl>
    <w:lvl w:ilvl="7" w:tplc="91D4F9A6">
      <w:numFmt w:val="bullet"/>
      <w:lvlText w:val="•"/>
      <w:lvlJc w:val="left"/>
      <w:pPr>
        <w:ind w:left="6958" w:hanging="312"/>
      </w:pPr>
      <w:rPr>
        <w:rFonts w:hint="default"/>
        <w:lang w:val="en-US" w:eastAsia="en-US" w:bidi="en-US"/>
      </w:rPr>
    </w:lvl>
    <w:lvl w:ilvl="8" w:tplc="FDAA19C6">
      <w:numFmt w:val="bullet"/>
      <w:lvlText w:val="•"/>
      <w:lvlJc w:val="left"/>
      <w:pPr>
        <w:ind w:left="7921" w:hanging="312"/>
      </w:pPr>
      <w:rPr>
        <w:rFonts w:hint="default"/>
        <w:lang w:val="en-US" w:eastAsia="en-US" w:bidi="en-US"/>
      </w:rPr>
    </w:lvl>
  </w:abstractNum>
  <w:abstractNum w:abstractNumId="12" w15:restartNumberingAfterBreak="0">
    <w:nsid w:val="63CD6B70"/>
    <w:multiLevelType w:val="hybridMultilevel"/>
    <w:tmpl w:val="DE78245C"/>
    <w:lvl w:ilvl="0" w:tplc="52E0F10E">
      <w:start w:val="2"/>
      <w:numFmt w:val="decimal"/>
      <w:lvlText w:val="(%1)"/>
      <w:lvlJc w:val="left"/>
      <w:pPr>
        <w:ind w:left="216" w:hanging="353"/>
        <w:jc w:val="left"/>
      </w:pPr>
      <w:rPr>
        <w:rFonts w:ascii="Cambria" w:eastAsia="Cambria" w:hAnsi="Cambria" w:cs="Cambria" w:hint="default"/>
        <w:w w:val="99"/>
        <w:sz w:val="20"/>
        <w:szCs w:val="20"/>
        <w:lang w:val="en-US" w:eastAsia="en-US" w:bidi="en-US"/>
      </w:rPr>
    </w:lvl>
    <w:lvl w:ilvl="1" w:tplc="31DC0CF8">
      <w:numFmt w:val="bullet"/>
      <w:lvlText w:val="•"/>
      <w:lvlJc w:val="left"/>
      <w:pPr>
        <w:ind w:left="1182" w:hanging="353"/>
      </w:pPr>
      <w:rPr>
        <w:rFonts w:hint="default"/>
        <w:lang w:val="en-US" w:eastAsia="en-US" w:bidi="en-US"/>
      </w:rPr>
    </w:lvl>
    <w:lvl w:ilvl="2" w:tplc="DE5037D6">
      <w:numFmt w:val="bullet"/>
      <w:lvlText w:val="•"/>
      <w:lvlJc w:val="left"/>
      <w:pPr>
        <w:ind w:left="2145" w:hanging="353"/>
      </w:pPr>
      <w:rPr>
        <w:rFonts w:hint="default"/>
        <w:lang w:val="en-US" w:eastAsia="en-US" w:bidi="en-US"/>
      </w:rPr>
    </w:lvl>
    <w:lvl w:ilvl="3" w:tplc="7784648C">
      <w:numFmt w:val="bullet"/>
      <w:lvlText w:val="•"/>
      <w:lvlJc w:val="left"/>
      <w:pPr>
        <w:ind w:left="3107" w:hanging="353"/>
      </w:pPr>
      <w:rPr>
        <w:rFonts w:hint="default"/>
        <w:lang w:val="en-US" w:eastAsia="en-US" w:bidi="en-US"/>
      </w:rPr>
    </w:lvl>
    <w:lvl w:ilvl="4" w:tplc="E2DA824C">
      <w:numFmt w:val="bullet"/>
      <w:lvlText w:val="•"/>
      <w:lvlJc w:val="left"/>
      <w:pPr>
        <w:ind w:left="4070" w:hanging="353"/>
      </w:pPr>
      <w:rPr>
        <w:rFonts w:hint="default"/>
        <w:lang w:val="en-US" w:eastAsia="en-US" w:bidi="en-US"/>
      </w:rPr>
    </w:lvl>
    <w:lvl w:ilvl="5" w:tplc="FEFEDE20">
      <w:numFmt w:val="bullet"/>
      <w:lvlText w:val="•"/>
      <w:lvlJc w:val="left"/>
      <w:pPr>
        <w:ind w:left="5033" w:hanging="353"/>
      </w:pPr>
      <w:rPr>
        <w:rFonts w:hint="default"/>
        <w:lang w:val="en-US" w:eastAsia="en-US" w:bidi="en-US"/>
      </w:rPr>
    </w:lvl>
    <w:lvl w:ilvl="6" w:tplc="085E6DBE">
      <w:numFmt w:val="bullet"/>
      <w:lvlText w:val="•"/>
      <w:lvlJc w:val="left"/>
      <w:pPr>
        <w:ind w:left="5995" w:hanging="353"/>
      </w:pPr>
      <w:rPr>
        <w:rFonts w:hint="default"/>
        <w:lang w:val="en-US" w:eastAsia="en-US" w:bidi="en-US"/>
      </w:rPr>
    </w:lvl>
    <w:lvl w:ilvl="7" w:tplc="824063D8">
      <w:numFmt w:val="bullet"/>
      <w:lvlText w:val="•"/>
      <w:lvlJc w:val="left"/>
      <w:pPr>
        <w:ind w:left="6958" w:hanging="353"/>
      </w:pPr>
      <w:rPr>
        <w:rFonts w:hint="default"/>
        <w:lang w:val="en-US" w:eastAsia="en-US" w:bidi="en-US"/>
      </w:rPr>
    </w:lvl>
    <w:lvl w:ilvl="8" w:tplc="EB9C73E0">
      <w:numFmt w:val="bullet"/>
      <w:lvlText w:val="•"/>
      <w:lvlJc w:val="left"/>
      <w:pPr>
        <w:ind w:left="7921" w:hanging="353"/>
      </w:pPr>
      <w:rPr>
        <w:rFonts w:hint="default"/>
        <w:lang w:val="en-US" w:eastAsia="en-US" w:bidi="en-US"/>
      </w:rPr>
    </w:lvl>
  </w:abstractNum>
  <w:abstractNum w:abstractNumId="13" w15:restartNumberingAfterBreak="0">
    <w:nsid w:val="6D3C6FB9"/>
    <w:multiLevelType w:val="hybridMultilevel"/>
    <w:tmpl w:val="C726937A"/>
    <w:lvl w:ilvl="0" w:tplc="4CC21EE4">
      <w:start w:val="1"/>
      <w:numFmt w:val="lowerLetter"/>
      <w:lvlText w:val="%1)"/>
      <w:lvlJc w:val="left"/>
      <w:pPr>
        <w:ind w:left="434" w:hanging="219"/>
        <w:jc w:val="left"/>
      </w:pPr>
      <w:rPr>
        <w:rFonts w:ascii="Cambria" w:eastAsia="Cambria" w:hAnsi="Cambria" w:cs="Cambria" w:hint="default"/>
        <w:w w:val="99"/>
        <w:sz w:val="20"/>
        <w:szCs w:val="20"/>
        <w:lang w:val="en-US" w:eastAsia="en-US" w:bidi="en-US"/>
      </w:rPr>
    </w:lvl>
    <w:lvl w:ilvl="1" w:tplc="7B8E6DE4">
      <w:numFmt w:val="bullet"/>
      <w:lvlText w:val="•"/>
      <w:lvlJc w:val="left"/>
      <w:pPr>
        <w:ind w:left="1380" w:hanging="219"/>
      </w:pPr>
      <w:rPr>
        <w:rFonts w:hint="default"/>
        <w:lang w:val="en-US" w:eastAsia="en-US" w:bidi="en-US"/>
      </w:rPr>
    </w:lvl>
    <w:lvl w:ilvl="2" w:tplc="30E87B32">
      <w:numFmt w:val="bullet"/>
      <w:lvlText w:val="•"/>
      <w:lvlJc w:val="left"/>
      <w:pPr>
        <w:ind w:left="2321" w:hanging="219"/>
      </w:pPr>
      <w:rPr>
        <w:rFonts w:hint="default"/>
        <w:lang w:val="en-US" w:eastAsia="en-US" w:bidi="en-US"/>
      </w:rPr>
    </w:lvl>
    <w:lvl w:ilvl="3" w:tplc="B2528934">
      <w:numFmt w:val="bullet"/>
      <w:lvlText w:val="•"/>
      <w:lvlJc w:val="left"/>
      <w:pPr>
        <w:ind w:left="3261" w:hanging="219"/>
      </w:pPr>
      <w:rPr>
        <w:rFonts w:hint="default"/>
        <w:lang w:val="en-US" w:eastAsia="en-US" w:bidi="en-US"/>
      </w:rPr>
    </w:lvl>
    <w:lvl w:ilvl="4" w:tplc="38D80A36">
      <w:numFmt w:val="bullet"/>
      <w:lvlText w:val="•"/>
      <w:lvlJc w:val="left"/>
      <w:pPr>
        <w:ind w:left="4202" w:hanging="219"/>
      </w:pPr>
      <w:rPr>
        <w:rFonts w:hint="default"/>
        <w:lang w:val="en-US" w:eastAsia="en-US" w:bidi="en-US"/>
      </w:rPr>
    </w:lvl>
    <w:lvl w:ilvl="5" w:tplc="0022539E">
      <w:numFmt w:val="bullet"/>
      <w:lvlText w:val="•"/>
      <w:lvlJc w:val="left"/>
      <w:pPr>
        <w:ind w:left="5143" w:hanging="219"/>
      </w:pPr>
      <w:rPr>
        <w:rFonts w:hint="default"/>
        <w:lang w:val="en-US" w:eastAsia="en-US" w:bidi="en-US"/>
      </w:rPr>
    </w:lvl>
    <w:lvl w:ilvl="6" w:tplc="5B788662">
      <w:numFmt w:val="bullet"/>
      <w:lvlText w:val="•"/>
      <w:lvlJc w:val="left"/>
      <w:pPr>
        <w:ind w:left="6083" w:hanging="219"/>
      </w:pPr>
      <w:rPr>
        <w:rFonts w:hint="default"/>
        <w:lang w:val="en-US" w:eastAsia="en-US" w:bidi="en-US"/>
      </w:rPr>
    </w:lvl>
    <w:lvl w:ilvl="7" w:tplc="0764C790">
      <w:numFmt w:val="bullet"/>
      <w:lvlText w:val="•"/>
      <w:lvlJc w:val="left"/>
      <w:pPr>
        <w:ind w:left="7024" w:hanging="219"/>
      </w:pPr>
      <w:rPr>
        <w:rFonts w:hint="default"/>
        <w:lang w:val="en-US" w:eastAsia="en-US" w:bidi="en-US"/>
      </w:rPr>
    </w:lvl>
    <w:lvl w:ilvl="8" w:tplc="8646BE34">
      <w:numFmt w:val="bullet"/>
      <w:lvlText w:val="•"/>
      <w:lvlJc w:val="left"/>
      <w:pPr>
        <w:ind w:left="7965" w:hanging="219"/>
      </w:pPr>
      <w:rPr>
        <w:rFonts w:hint="default"/>
        <w:lang w:val="en-US" w:eastAsia="en-US" w:bidi="en-US"/>
      </w:rPr>
    </w:lvl>
  </w:abstractNum>
  <w:num w:numId="1">
    <w:abstractNumId w:val="5"/>
  </w:num>
  <w:num w:numId="2">
    <w:abstractNumId w:val="9"/>
  </w:num>
  <w:num w:numId="3">
    <w:abstractNumId w:val="2"/>
  </w:num>
  <w:num w:numId="4">
    <w:abstractNumId w:val="3"/>
  </w:num>
  <w:num w:numId="5">
    <w:abstractNumId w:val="11"/>
  </w:num>
  <w:num w:numId="6">
    <w:abstractNumId w:val="0"/>
  </w:num>
  <w:num w:numId="7">
    <w:abstractNumId w:val="10"/>
  </w:num>
  <w:num w:numId="8">
    <w:abstractNumId w:val="8"/>
  </w:num>
  <w:num w:numId="9">
    <w:abstractNumId w:val="1"/>
  </w:num>
  <w:num w:numId="10">
    <w:abstractNumId w:val="7"/>
  </w:num>
  <w:num w:numId="11">
    <w:abstractNumId w:val="4"/>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9F"/>
    <w:rsid w:val="005546AB"/>
    <w:rsid w:val="005F7CCC"/>
    <w:rsid w:val="008E059F"/>
    <w:rsid w:val="00EA3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ACF4F"/>
  <w15:docId w15:val="{5FB17D62-4E13-4A71-8FBF-888AAEC5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Balk1">
    <w:name w:val="heading 1"/>
    <w:basedOn w:val="Normal"/>
    <w:uiPriority w:val="9"/>
    <w:qFormat/>
    <w:pPr>
      <w:ind w:left="21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216"/>
      <w:jc w:val="both"/>
    </w:pPr>
  </w:style>
  <w:style w:type="paragraph" w:customStyle="1" w:styleId="TableParagraph">
    <w:name w:val="Table Paragraph"/>
    <w:basedOn w:val="Normal"/>
    <w:uiPriority w:val="1"/>
    <w:qFormat/>
    <w:pPr>
      <w:spacing w:before="119"/>
      <w:ind w:left="71"/>
    </w:pPr>
  </w:style>
  <w:style w:type="paragraph" w:styleId="stBilgi">
    <w:name w:val="header"/>
    <w:basedOn w:val="Normal"/>
    <w:link w:val="stBilgiChar"/>
    <w:uiPriority w:val="99"/>
    <w:unhideWhenUsed/>
    <w:rsid w:val="005546AB"/>
    <w:pPr>
      <w:tabs>
        <w:tab w:val="center" w:pos="4536"/>
        <w:tab w:val="right" w:pos="9072"/>
      </w:tabs>
    </w:pPr>
  </w:style>
  <w:style w:type="character" w:customStyle="1" w:styleId="stBilgiChar">
    <w:name w:val="Üst Bilgi Char"/>
    <w:basedOn w:val="VarsaylanParagrafYazTipi"/>
    <w:link w:val="stBilgi"/>
    <w:uiPriority w:val="99"/>
    <w:rsid w:val="005546AB"/>
    <w:rPr>
      <w:rFonts w:ascii="Cambria" w:eastAsia="Cambria" w:hAnsi="Cambria" w:cs="Cambria"/>
      <w:lang w:bidi="en-US"/>
    </w:rPr>
  </w:style>
  <w:style w:type="paragraph" w:styleId="AltBilgi">
    <w:name w:val="footer"/>
    <w:basedOn w:val="Normal"/>
    <w:link w:val="AltBilgiChar"/>
    <w:uiPriority w:val="99"/>
    <w:unhideWhenUsed/>
    <w:rsid w:val="005546AB"/>
    <w:pPr>
      <w:tabs>
        <w:tab w:val="center" w:pos="4536"/>
        <w:tab w:val="right" w:pos="9072"/>
      </w:tabs>
    </w:pPr>
  </w:style>
  <w:style w:type="character" w:customStyle="1" w:styleId="AltBilgiChar">
    <w:name w:val="Alt Bilgi Char"/>
    <w:basedOn w:val="VarsaylanParagrafYazTipi"/>
    <w:link w:val="AltBilgi"/>
    <w:uiPriority w:val="99"/>
    <w:rsid w:val="005546AB"/>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5307</Words>
  <Characters>30251</Characters>
  <Application>Microsoft Office Word</Application>
  <DocSecurity>0</DocSecurity>
  <Lines>252</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GÜNEŞ</cp:lastModifiedBy>
  <cp:revision>2</cp:revision>
  <dcterms:created xsi:type="dcterms:W3CDTF">2021-11-07T11:57:00Z</dcterms:created>
  <dcterms:modified xsi:type="dcterms:W3CDTF">2021-11-07T11:57:00Z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Creator">
    <vt:lpwstr>Microsoft® Word 2016</vt:lpwstr>
  </property>
  <property fmtid="{D5CDD505-2E9C-101B-9397-08002B2CF9AE}" pid="4" name="LastSaved">
    <vt:filetime>2021-11-07T00:00:00Z</vt:filetime>
  </property>
</Properties>
</file>