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71A6D" w14:textId="77777777" w:rsidR="00ED05FC" w:rsidRPr="005D0DC7" w:rsidRDefault="00ED05FC">
      <w:pPr>
        <w:pStyle w:val="GvdeMetni"/>
        <w:spacing w:before="11"/>
        <w:ind w:left="0" w:right="0" w:firstLine="0"/>
        <w:jc w:val="left"/>
        <w:rPr>
          <w:sz w:val="22"/>
          <w:szCs w:val="22"/>
        </w:rPr>
      </w:pPr>
    </w:p>
    <w:p w14:paraId="381A2D99" w14:textId="77777777" w:rsidR="00ED05FC" w:rsidRPr="005D0DC7" w:rsidRDefault="00ED05FC">
      <w:pPr>
        <w:pStyle w:val="GvdeMetni"/>
        <w:spacing w:before="6"/>
        <w:ind w:left="0" w:right="0" w:firstLine="0"/>
        <w:jc w:val="left"/>
        <w:rPr>
          <w:b/>
          <w:sz w:val="22"/>
          <w:szCs w:val="22"/>
        </w:rPr>
      </w:pPr>
    </w:p>
    <w:p w14:paraId="5F541422" w14:textId="2BFD6326" w:rsidR="00ED05FC" w:rsidRPr="005D0DC7" w:rsidRDefault="000A08A0" w:rsidP="000A08A0">
      <w:pPr>
        <w:pStyle w:val="GvdeMetni"/>
        <w:tabs>
          <w:tab w:val="left" w:pos="9198"/>
        </w:tabs>
        <w:ind w:right="112"/>
        <w:rPr>
          <w:sz w:val="22"/>
          <w:szCs w:val="22"/>
        </w:rPr>
      </w:pPr>
      <w:r w:rsidRPr="005D0DC7">
        <w:rPr>
          <w:b/>
          <w:sz w:val="22"/>
          <w:szCs w:val="22"/>
        </w:rPr>
        <w:t xml:space="preserve">MADDE </w:t>
      </w:r>
      <w:proofErr w:type="gramStart"/>
      <w:r w:rsidRPr="005D0DC7">
        <w:rPr>
          <w:b/>
          <w:sz w:val="22"/>
          <w:szCs w:val="22"/>
        </w:rPr>
        <w:t>1 -</w:t>
      </w:r>
      <w:proofErr w:type="gramEnd"/>
      <w:r w:rsidRPr="005D0DC7">
        <w:rPr>
          <w:b/>
          <w:sz w:val="22"/>
          <w:szCs w:val="22"/>
        </w:rPr>
        <w:t xml:space="preserve"> </w:t>
      </w:r>
      <w:r w:rsidRPr="005D0DC7">
        <w:rPr>
          <w:sz w:val="22"/>
          <w:szCs w:val="22"/>
        </w:rPr>
        <w:t>Değişim programı ancak ilgili yönetmelikte belirlenen esaslar çerçevesinde düzenlenen ve Yükseköğretim Kurulunun onayladığı; Üniversitemizin işbirliği protokolüne sahip olduğu kurumlar arasında yapılır.</w:t>
      </w:r>
    </w:p>
    <w:p w14:paraId="3795361E" w14:textId="4D0F89E0" w:rsidR="00ED05FC" w:rsidRPr="005D0DC7" w:rsidRDefault="000A08A0" w:rsidP="000A08A0">
      <w:pPr>
        <w:pStyle w:val="GvdeMetni"/>
        <w:tabs>
          <w:tab w:val="left" w:pos="9198"/>
        </w:tabs>
        <w:rPr>
          <w:sz w:val="22"/>
          <w:szCs w:val="22"/>
        </w:rPr>
      </w:pPr>
      <w:r w:rsidRPr="005D0DC7">
        <w:rPr>
          <w:b/>
          <w:sz w:val="22"/>
          <w:szCs w:val="22"/>
        </w:rPr>
        <w:t xml:space="preserve">MADDE 2 </w:t>
      </w:r>
      <w:r w:rsidRPr="005D0DC7">
        <w:rPr>
          <w:sz w:val="22"/>
          <w:szCs w:val="22"/>
        </w:rPr>
        <w:t>– Tekirdağ Namık Kemal Üniversitesi, Yurtiçi Değişim Programı çerçevesinde gön- dereceği ve kabul edeceği öğrenci/öğretim elemanı sayısını ilgili birimlerin teklifi üzerine Üniversite Yönetim Kurulunda belirler.</w:t>
      </w:r>
    </w:p>
    <w:p w14:paraId="7249E799" w14:textId="77777777" w:rsidR="00ED05FC" w:rsidRPr="005D0DC7" w:rsidRDefault="000A08A0" w:rsidP="000A08A0">
      <w:pPr>
        <w:pStyle w:val="GvdeMetni"/>
        <w:tabs>
          <w:tab w:val="left" w:pos="9198"/>
        </w:tabs>
        <w:spacing w:before="1"/>
        <w:ind w:right="117"/>
        <w:rPr>
          <w:sz w:val="22"/>
          <w:szCs w:val="22"/>
        </w:rPr>
      </w:pPr>
      <w:r w:rsidRPr="005D0DC7">
        <w:rPr>
          <w:b/>
          <w:sz w:val="22"/>
          <w:szCs w:val="22"/>
        </w:rPr>
        <w:t xml:space="preserve">MADDE </w:t>
      </w:r>
      <w:proofErr w:type="gramStart"/>
      <w:r w:rsidRPr="005D0DC7">
        <w:rPr>
          <w:b/>
          <w:sz w:val="22"/>
          <w:szCs w:val="22"/>
        </w:rPr>
        <w:t>3 -</w:t>
      </w:r>
      <w:proofErr w:type="gramEnd"/>
      <w:r w:rsidRPr="005D0DC7">
        <w:rPr>
          <w:b/>
          <w:sz w:val="22"/>
          <w:szCs w:val="22"/>
        </w:rPr>
        <w:t xml:space="preserve"> </w:t>
      </w:r>
      <w:r w:rsidRPr="005D0DC7">
        <w:rPr>
          <w:sz w:val="22"/>
          <w:szCs w:val="22"/>
        </w:rPr>
        <w:t>Yurtiçi Değişim Programı Birimi, Üniversitemizin işbirliği protokolü imzaladığı yükseköğretim kurumlarını bağlı birimlere duyurur. Yapılan anlaşmalar izleyen yarıyılda yürürlüğe girer.</w:t>
      </w:r>
    </w:p>
    <w:p w14:paraId="1846DC75" w14:textId="7BC799B7" w:rsidR="00ED05FC" w:rsidRPr="005D0DC7" w:rsidRDefault="000A08A0" w:rsidP="000A08A0">
      <w:pPr>
        <w:pStyle w:val="GvdeMetni"/>
        <w:tabs>
          <w:tab w:val="left" w:pos="9198"/>
        </w:tabs>
        <w:ind w:right="119"/>
        <w:rPr>
          <w:sz w:val="22"/>
          <w:szCs w:val="22"/>
        </w:rPr>
      </w:pPr>
      <w:r w:rsidRPr="005D0DC7">
        <w:rPr>
          <w:b/>
          <w:sz w:val="22"/>
          <w:szCs w:val="22"/>
        </w:rPr>
        <w:t>MADDE 4 -</w:t>
      </w:r>
      <w:r w:rsidRPr="005D0DC7">
        <w:rPr>
          <w:sz w:val="22"/>
          <w:szCs w:val="22"/>
        </w:rPr>
        <w:t>Yurtiçi Değişim Programından faydalanabilmek için ilgili yüksek öğretim kurumu / bölümü ile üniversitemiz arasında ikili anlaşmanın olması şarttır. İkili anlaşma</w:t>
      </w:r>
      <w:r w:rsidR="005D0DC7">
        <w:rPr>
          <w:sz w:val="22"/>
          <w:szCs w:val="22"/>
        </w:rPr>
        <w:t xml:space="preserve"> </w:t>
      </w:r>
      <w:r w:rsidRPr="005D0DC7">
        <w:rPr>
          <w:sz w:val="22"/>
          <w:szCs w:val="22"/>
        </w:rPr>
        <w:t>yapılmayan yükseköğretim kurumu /bölümler ile değişim yapılamaz.</w:t>
      </w:r>
    </w:p>
    <w:p w14:paraId="7184425A" w14:textId="17892510" w:rsidR="00ED05FC" w:rsidRPr="005D0DC7" w:rsidRDefault="000A08A0" w:rsidP="000A08A0">
      <w:pPr>
        <w:pStyle w:val="GvdeMetni"/>
        <w:tabs>
          <w:tab w:val="left" w:pos="9198"/>
        </w:tabs>
        <w:rPr>
          <w:sz w:val="22"/>
          <w:szCs w:val="22"/>
        </w:rPr>
      </w:pPr>
      <w:r w:rsidRPr="005D0DC7">
        <w:rPr>
          <w:b/>
          <w:sz w:val="22"/>
          <w:szCs w:val="22"/>
        </w:rPr>
        <w:t xml:space="preserve">MADDE 5 – </w:t>
      </w:r>
      <w:r w:rsidRPr="005D0DC7">
        <w:rPr>
          <w:bCs/>
          <w:sz w:val="22"/>
          <w:szCs w:val="22"/>
        </w:rPr>
        <w:t>Tekirdağ</w:t>
      </w:r>
      <w:r w:rsidRPr="005D0DC7">
        <w:rPr>
          <w:b/>
          <w:sz w:val="22"/>
          <w:szCs w:val="22"/>
        </w:rPr>
        <w:t xml:space="preserve"> </w:t>
      </w:r>
      <w:r w:rsidRPr="005D0DC7">
        <w:rPr>
          <w:sz w:val="22"/>
          <w:szCs w:val="22"/>
        </w:rPr>
        <w:t>Namık Kemal Üniversitesi Bölüm Avrupa Kredi Transfer Sistemi (AKTS) koordinatörleri kendi birimlerine ayrılan kontenjan çerçevesinde protokol imzalanan yüksek öğretim kurumlarının ilgili Koordinatörleri ile yazışmak suretiyle ikili anlaşmaların başlangıcını yaparak kendi bölümleri ile anlaşma yapmak isteyen yüksek öğretim kuru- mu/bölümleri Yurtiçi Değişim Programı Birimine bildirirler. Bu anlaşmada, öğrenci ve öğretim elemanı değişimi yapacak kurumların bilgileri, kaç kişinin değişimi yapılacağı ve ne kadar süre ile değişim yapılacağı belirtilmelidir. Tekirdağ Namık Kemal Üniversitesi Yurtiçi Değişim Programı Birimi iki Yüksek Öğretim Kurumu/bölümü arasındaki anlaşmanın resmi işlerini tamamlar.</w:t>
      </w:r>
    </w:p>
    <w:p w14:paraId="79F26C54" w14:textId="77777777" w:rsidR="00ED05FC" w:rsidRPr="005D0DC7" w:rsidRDefault="000A08A0" w:rsidP="000A08A0">
      <w:pPr>
        <w:pStyle w:val="GvdeMetni"/>
        <w:tabs>
          <w:tab w:val="left" w:pos="9198"/>
        </w:tabs>
        <w:spacing w:before="1"/>
        <w:ind w:left="824" w:right="0" w:firstLine="0"/>
        <w:rPr>
          <w:sz w:val="22"/>
          <w:szCs w:val="22"/>
        </w:rPr>
      </w:pPr>
      <w:r w:rsidRPr="005D0DC7">
        <w:rPr>
          <w:b/>
          <w:sz w:val="22"/>
          <w:szCs w:val="22"/>
        </w:rPr>
        <w:t xml:space="preserve">MADDE </w:t>
      </w:r>
      <w:proofErr w:type="gramStart"/>
      <w:r w:rsidRPr="005D0DC7">
        <w:rPr>
          <w:b/>
          <w:sz w:val="22"/>
          <w:szCs w:val="22"/>
        </w:rPr>
        <w:t>6 -</w:t>
      </w:r>
      <w:proofErr w:type="gramEnd"/>
      <w:r w:rsidRPr="005D0DC7">
        <w:rPr>
          <w:b/>
          <w:sz w:val="22"/>
          <w:szCs w:val="22"/>
        </w:rPr>
        <w:t xml:space="preserve"> </w:t>
      </w:r>
      <w:r w:rsidRPr="005D0DC7">
        <w:rPr>
          <w:sz w:val="22"/>
          <w:szCs w:val="22"/>
        </w:rPr>
        <w:t>Değişim programına başvurular ilgili bölüm başkanlıklarına yapılır.</w:t>
      </w:r>
    </w:p>
    <w:p w14:paraId="6432D99C" w14:textId="56C3DF1A" w:rsidR="00ED05FC" w:rsidRPr="005D0DC7" w:rsidRDefault="000A08A0" w:rsidP="000A08A0">
      <w:pPr>
        <w:pStyle w:val="GvdeMetni"/>
        <w:tabs>
          <w:tab w:val="left" w:pos="9198"/>
        </w:tabs>
        <w:rPr>
          <w:sz w:val="22"/>
          <w:szCs w:val="22"/>
        </w:rPr>
      </w:pPr>
      <w:r w:rsidRPr="005D0DC7">
        <w:rPr>
          <w:b/>
          <w:sz w:val="22"/>
          <w:szCs w:val="22"/>
        </w:rPr>
        <w:t xml:space="preserve">MADDE </w:t>
      </w:r>
      <w:proofErr w:type="gramStart"/>
      <w:r w:rsidRPr="005D0DC7">
        <w:rPr>
          <w:b/>
          <w:sz w:val="22"/>
          <w:szCs w:val="22"/>
        </w:rPr>
        <w:t>7 -</w:t>
      </w:r>
      <w:proofErr w:type="gramEnd"/>
      <w:r w:rsidRPr="005D0DC7">
        <w:rPr>
          <w:b/>
          <w:sz w:val="22"/>
          <w:szCs w:val="22"/>
        </w:rPr>
        <w:t xml:space="preserve"> </w:t>
      </w:r>
      <w:r w:rsidRPr="005D0DC7">
        <w:rPr>
          <w:sz w:val="22"/>
          <w:szCs w:val="22"/>
        </w:rPr>
        <w:t>Değişim programı gereğince bir başka yükseköğretim kurumuna gönderilecek öğrencilerin seçimi; ilgili yönetmelik Madde 6’da yer alan hususlara göre yapılır. Birinci ve son yarıyıl öğrencileri, daha önce yurtiçi değişim programından faydalanan öğrenciler, alt dönemlerden birden fazla başarısız dersi olan öğrenciler bu programa başvuramazlar. Her bir ikili anlaşma için başvuran öğrencilerin %65 akademik not ortalaması, %20 yabancı dil düzeyi ve %15 mülakat sonuçlarının etkilediği ağırlıklı ortalamaya göre öğrenciler arasın- da kontenjan sayısına göre sıralama yapılır. Yabancı dil sınavı ve mülakat sınavı Fakül- te/Yüksekokul/Meslek Yüksekokulu Kurulu tarafından oluşturulacak komisyonca yapılır. Sıralama sonuçları Yurtiçi Değişim Programı Birimi tarafından</w:t>
      </w:r>
      <w:r w:rsidRPr="005D0DC7">
        <w:rPr>
          <w:spacing w:val="-5"/>
          <w:sz w:val="22"/>
          <w:szCs w:val="22"/>
        </w:rPr>
        <w:t xml:space="preserve"> </w:t>
      </w:r>
      <w:r w:rsidRPr="005D0DC7">
        <w:rPr>
          <w:sz w:val="22"/>
          <w:szCs w:val="22"/>
        </w:rPr>
        <w:t>duyurulur.</w:t>
      </w:r>
    </w:p>
    <w:p w14:paraId="0DD322B2" w14:textId="77777777" w:rsidR="00ED05FC" w:rsidRPr="005D0DC7" w:rsidRDefault="000A08A0" w:rsidP="000A08A0">
      <w:pPr>
        <w:pStyle w:val="GvdeMetni"/>
        <w:tabs>
          <w:tab w:val="left" w:pos="9198"/>
        </w:tabs>
        <w:ind w:right="122" w:firstLine="0"/>
        <w:rPr>
          <w:sz w:val="22"/>
          <w:szCs w:val="22"/>
        </w:rPr>
      </w:pPr>
      <w:r w:rsidRPr="005D0DC7">
        <w:rPr>
          <w:sz w:val="22"/>
          <w:szCs w:val="22"/>
        </w:rPr>
        <w:t>Yabancı dil ile eğitim yapan okullara gidecek öğrenciler için yapılacak yabancı dil sınavından en az 75 puan alınması asgari koşuldur.</w:t>
      </w:r>
    </w:p>
    <w:p w14:paraId="77E6C527" w14:textId="61042520" w:rsidR="00ED05FC" w:rsidRPr="005D0DC7" w:rsidRDefault="000A08A0" w:rsidP="000A08A0">
      <w:pPr>
        <w:pStyle w:val="GvdeMetni"/>
        <w:tabs>
          <w:tab w:val="left" w:pos="9198"/>
        </w:tabs>
        <w:ind w:right="115"/>
        <w:rPr>
          <w:sz w:val="22"/>
          <w:szCs w:val="22"/>
        </w:rPr>
      </w:pPr>
      <w:r w:rsidRPr="005D0DC7">
        <w:rPr>
          <w:b/>
          <w:sz w:val="22"/>
          <w:szCs w:val="22"/>
        </w:rPr>
        <w:t xml:space="preserve">MADDE </w:t>
      </w:r>
      <w:proofErr w:type="gramStart"/>
      <w:r w:rsidRPr="005D0DC7">
        <w:rPr>
          <w:b/>
          <w:sz w:val="22"/>
          <w:szCs w:val="22"/>
        </w:rPr>
        <w:t>8 -</w:t>
      </w:r>
      <w:proofErr w:type="gramEnd"/>
      <w:r w:rsidRPr="005D0DC7">
        <w:rPr>
          <w:b/>
          <w:sz w:val="22"/>
          <w:szCs w:val="22"/>
        </w:rPr>
        <w:t xml:space="preserve"> </w:t>
      </w:r>
      <w:r w:rsidRPr="005D0DC7">
        <w:rPr>
          <w:sz w:val="22"/>
          <w:szCs w:val="22"/>
        </w:rPr>
        <w:t>Öğretim elemanı değişiminde isim belirtilerek bir ikili anlaşma yapılabilir. İsim belirtilerek yapılan anlaşmalarda yer alan isimler yalnızca anlaşmanın ilk icra yılı için geçerlidir. İzleyen yıllarda anlaşma kendiliğinden isimsiz anlaşma niteliği kazanır.</w:t>
      </w:r>
    </w:p>
    <w:p w14:paraId="6B2655BD" w14:textId="58FA4370" w:rsidR="00ED05FC" w:rsidRPr="005D0DC7" w:rsidRDefault="000A08A0" w:rsidP="000A08A0">
      <w:pPr>
        <w:pStyle w:val="GvdeMetni"/>
        <w:tabs>
          <w:tab w:val="left" w:pos="9198"/>
        </w:tabs>
        <w:ind w:right="112"/>
        <w:rPr>
          <w:sz w:val="22"/>
          <w:szCs w:val="22"/>
        </w:rPr>
      </w:pPr>
      <w:r w:rsidRPr="005D0DC7">
        <w:rPr>
          <w:sz w:val="22"/>
          <w:szCs w:val="22"/>
        </w:rPr>
        <w:t xml:space="preserve">İsim belirtilmeden yapılan anlaşmalarda ise istekli öğretim elemanları arasından gidecek </w:t>
      </w:r>
      <w:proofErr w:type="gramStart"/>
      <w:r w:rsidRPr="005D0DC7">
        <w:rPr>
          <w:sz w:val="22"/>
          <w:szCs w:val="22"/>
        </w:rPr>
        <w:t>öğretim  elemanına</w:t>
      </w:r>
      <w:proofErr w:type="gramEnd"/>
      <w:r w:rsidRPr="005D0DC7">
        <w:rPr>
          <w:sz w:val="22"/>
          <w:szCs w:val="22"/>
        </w:rPr>
        <w:t xml:space="preserve">  bölüm  kurulu  önerisi  ile  ilgili  yönetim  kurulu  karar  verir. Bölüm kurulu Öğretim Elemanının gideceği dönemde kendi biriminde vereceği dersi verebilecek başka uygun bir öğretim elemanının olmasını ve bu dönemde yürütmekte olduğu akademik etkinliklerin sürdürülmesinin sağlanmasını dikkate alarak, ilgili yönetim kuruluna </w:t>
      </w:r>
      <w:r w:rsidRPr="005D0DC7">
        <w:rPr>
          <w:spacing w:val="2"/>
          <w:sz w:val="22"/>
          <w:szCs w:val="22"/>
        </w:rPr>
        <w:t>öne</w:t>
      </w:r>
      <w:r w:rsidRPr="005D0DC7">
        <w:rPr>
          <w:sz w:val="22"/>
          <w:szCs w:val="22"/>
        </w:rPr>
        <w:t>ride</w:t>
      </w:r>
      <w:r w:rsidRPr="005D0DC7">
        <w:rPr>
          <w:spacing w:val="10"/>
          <w:sz w:val="22"/>
          <w:szCs w:val="22"/>
        </w:rPr>
        <w:t xml:space="preserve"> </w:t>
      </w:r>
      <w:r w:rsidRPr="005D0DC7">
        <w:rPr>
          <w:sz w:val="22"/>
          <w:szCs w:val="22"/>
        </w:rPr>
        <w:t>bulunur.</w:t>
      </w:r>
      <w:r w:rsidRPr="005D0DC7">
        <w:rPr>
          <w:spacing w:val="13"/>
          <w:sz w:val="22"/>
          <w:szCs w:val="22"/>
        </w:rPr>
        <w:t xml:space="preserve"> </w:t>
      </w:r>
      <w:r w:rsidRPr="005D0DC7">
        <w:rPr>
          <w:sz w:val="22"/>
          <w:szCs w:val="22"/>
        </w:rPr>
        <w:t>Değişim</w:t>
      </w:r>
      <w:r w:rsidRPr="005D0DC7">
        <w:rPr>
          <w:spacing w:val="13"/>
          <w:sz w:val="22"/>
          <w:szCs w:val="22"/>
        </w:rPr>
        <w:t xml:space="preserve"> </w:t>
      </w:r>
      <w:r w:rsidRPr="005D0DC7">
        <w:rPr>
          <w:sz w:val="22"/>
          <w:szCs w:val="22"/>
        </w:rPr>
        <w:t>programından</w:t>
      </w:r>
      <w:r w:rsidRPr="005D0DC7">
        <w:rPr>
          <w:spacing w:val="13"/>
          <w:sz w:val="22"/>
          <w:szCs w:val="22"/>
        </w:rPr>
        <w:t xml:space="preserve"> </w:t>
      </w:r>
      <w:r w:rsidRPr="005D0DC7">
        <w:rPr>
          <w:sz w:val="22"/>
          <w:szCs w:val="22"/>
        </w:rPr>
        <w:t>faydalanacak</w:t>
      </w:r>
      <w:r w:rsidRPr="005D0DC7">
        <w:rPr>
          <w:spacing w:val="12"/>
          <w:sz w:val="22"/>
          <w:szCs w:val="22"/>
        </w:rPr>
        <w:t xml:space="preserve"> </w:t>
      </w:r>
      <w:r w:rsidRPr="005D0DC7">
        <w:rPr>
          <w:sz w:val="22"/>
          <w:szCs w:val="22"/>
        </w:rPr>
        <w:t>öğretim</w:t>
      </w:r>
      <w:r w:rsidRPr="005D0DC7">
        <w:rPr>
          <w:spacing w:val="13"/>
          <w:sz w:val="22"/>
          <w:szCs w:val="22"/>
        </w:rPr>
        <w:t xml:space="preserve"> </w:t>
      </w:r>
      <w:r w:rsidRPr="005D0DC7">
        <w:rPr>
          <w:sz w:val="22"/>
          <w:szCs w:val="22"/>
        </w:rPr>
        <w:t>elemanının</w:t>
      </w:r>
      <w:r w:rsidRPr="005D0DC7">
        <w:rPr>
          <w:spacing w:val="13"/>
          <w:sz w:val="22"/>
          <w:szCs w:val="22"/>
        </w:rPr>
        <w:t xml:space="preserve"> </w:t>
      </w:r>
      <w:r w:rsidRPr="005D0DC7">
        <w:rPr>
          <w:sz w:val="22"/>
          <w:szCs w:val="22"/>
        </w:rPr>
        <w:t>kendi</w:t>
      </w:r>
      <w:r w:rsidRPr="005D0DC7">
        <w:rPr>
          <w:spacing w:val="13"/>
          <w:sz w:val="22"/>
          <w:szCs w:val="22"/>
        </w:rPr>
        <w:t xml:space="preserve"> </w:t>
      </w:r>
      <w:r w:rsidRPr="005D0DC7">
        <w:rPr>
          <w:sz w:val="22"/>
          <w:szCs w:val="22"/>
        </w:rPr>
        <w:t>biriminde</w:t>
      </w:r>
      <w:r w:rsidRPr="005D0DC7">
        <w:rPr>
          <w:spacing w:val="11"/>
          <w:sz w:val="22"/>
          <w:szCs w:val="22"/>
        </w:rPr>
        <w:t xml:space="preserve"> </w:t>
      </w:r>
      <w:r w:rsidRPr="005D0DC7">
        <w:rPr>
          <w:sz w:val="22"/>
          <w:szCs w:val="22"/>
        </w:rPr>
        <w:t>en</w:t>
      </w:r>
      <w:r w:rsidRPr="005D0DC7">
        <w:rPr>
          <w:spacing w:val="13"/>
          <w:sz w:val="22"/>
          <w:szCs w:val="22"/>
        </w:rPr>
        <w:t xml:space="preserve"> </w:t>
      </w:r>
      <w:r w:rsidRPr="005D0DC7">
        <w:rPr>
          <w:sz w:val="22"/>
          <w:szCs w:val="22"/>
        </w:rPr>
        <w:t>az</w:t>
      </w:r>
    </w:p>
    <w:p w14:paraId="38B41525" w14:textId="77777777" w:rsidR="00ED05FC" w:rsidRPr="005D0DC7" w:rsidRDefault="00ED05FC" w:rsidP="000A08A0">
      <w:pPr>
        <w:tabs>
          <w:tab w:val="left" w:pos="9198"/>
        </w:tabs>
        <w:sectPr w:rsidR="00ED05FC" w:rsidRPr="005D0DC7" w:rsidSect="005D0DC7">
          <w:headerReference w:type="first" r:id="rId7"/>
          <w:type w:val="continuous"/>
          <w:pgSz w:w="11910" w:h="16840"/>
          <w:pgMar w:top="1440" w:right="995" w:bottom="280" w:left="1300" w:header="708" w:footer="708" w:gutter="0"/>
          <w:cols w:space="708"/>
          <w:titlePg/>
          <w:docGrid w:linePitch="299"/>
        </w:sectPr>
      </w:pPr>
    </w:p>
    <w:p w14:paraId="6F9BEC0E" w14:textId="4E8762B7" w:rsidR="00ED05FC" w:rsidRPr="005D0DC7" w:rsidRDefault="000A08A0" w:rsidP="005D0DC7">
      <w:pPr>
        <w:pStyle w:val="GvdeMetni"/>
        <w:tabs>
          <w:tab w:val="left" w:pos="9198"/>
        </w:tabs>
        <w:spacing w:before="70"/>
        <w:ind w:left="0" w:right="114" w:firstLine="0"/>
        <w:rPr>
          <w:sz w:val="22"/>
          <w:szCs w:val="22"/>
        </w:rPr>
      </w:pPr>
      <w:proofErr w:type="gramStart"/>
      <w:r w:rsidRPr="005D0DC7">
        <w:rPr>
          <w:sz w:val="22"/>
          <w:szCs w:val="22"/>
        </w:rPr>
        <w:lastRenderedPageBreak/>
        <w:t>üç</w:t>
      </w:r>
      <w:proofErr w:type="gramEnd"/>
      <w:r w:rsidRPr="005D0DC7">
        <w:rPr>
          <w:sz w:val="22"/>
          <w:szCs w:val="22"/>
        </w:rPr>
        <w:t xml:space="preserve"> </w:t>
      </w:r>
      <w:r w:rsidRPr="005D0DC7">
        <w:rPr>
          <w:spacing w:val="-3"/>
          <w:sz w:val="22"/>
          <w:szCs w:val="22"/>
        </w:rPr>
        <w:t xml:space="preserve">yıl </w:t>
      </w:r>
      <w:r w:rsidRPr="005D0DC7">
        <w:rPr>
          <w:sz w:val="22"/>
          <w:szCs w:val="22"/>
        </w:rPr>
        <w:t>çalışmış olması gerekir. Öğretim Elemanları Yurtiçi Değişim Programından en az bir, en çok iki yarıyıl yararlanabilirler. Yurtiçi Değişim Programından yararlanan Öğretim Elemanları 5 yıl geçmeden yeni başvuruda</w:t>
      </w:r>
      <w:r w:rsidRPr="005D0DC7">
        <w:rPr>
          <w:spacing w:val="4"/>
          <w:sz w:val="22"/>
          <w:szCs w:val="22"/>
        </w:rPr>
        <w:t xml:space="preserve"> </w:t>
      </w:r>
      <w:r w:rsidRPr="005D0DC7">
        <w:rPr>
          <w:sz w:val="22"/>
          <w:szCs w:val="22"/>
        </w:rPr>
        <w:t>bulunamazlar.</w:t>
      </w:r>
    </w:p>
    <w:p w14:paraId="4BBBB717" w14:textId="1C0728C3" w:rsidR="00ED05FC" w:rsidRPr="005D0DC7" w:rsidRDefault="000A08A0" w:rsidP="000A08A0">
      <w:pPr>
        <w:pStyle w:val="GvdeMetni"/>
        <w:tabs>
          <w:tab w:val="left" w:pos="9198"/>
        </w:tabs>
        <w:rPr>
          <w:sz w:val="22"/>
          <w:szCs w:val="22"/>
        </w:rPr>
      </w:pPr>
      <w:r w:rsidRPr="005D0DC7">
        <w:rPr>
          <w:b/>
          <w:sz w:val="22"/>
          <w:szCs w:val="22"/>
        </w:rPr>
        <w:t xml:space="preserve">MADDE </w:t>
      </w:r>
      <w:proofErr w:type="gramStart"/>
      <w:r w:rsidRPr="005D0DC7">
        <w:rPr>
          <w:b/>
          <w:sz w:val="22"/>
          <w:szCs w:val="22"/>
        </w:rPr>
        <w:t>9 -</w:t>
      </w:r>
      <w:proofErr w:type="gramEnd"/>
      <w:r w:rsidRPr="005D0DC7">
        <w:rPr>
          <w:b/>
          <w:sz w:val="22"/>
          <w:szCs w:val="22"/>
        </w:rPr>
        <w:t xml:space="preserve"> </w:t>
      </w:r>
      <w:r w:rsidRPr="005D0DC7">
        <w:rPr>
          <w:sz w:val="22"/>
          <w:szCs w:val="22"/>
        </w:rPr>
        <w:t>Yurtiçi Değişim Programı Birimi öğrenci/öğretim elemanlarının gidecekleri yüksek öğretim kurumlarına yapmaları gereken başvuru işlemi ile ilgili bilgi ve formları sağlar.</w:t>
      </w:r>
    </w:p>
    <w:p w14:paraId="7B6BDDAB" w14:textId="70315828" w:rsidR="00ED05FC" w:rsidRPr="005D0DC7" w:rsidRDefault="000A08A0" w:rsidP="000A08A0">
      <w:pPr>
        <w:pStyle w:val="GvdeMetni"/>
        <w:tabs>
          <w:tab w:val="left" w:pos="9198"/>
        </w:tabs>
        <w:ind w:right="118"/>
        <w:rPr>
          <w:sz w:val="22"/>
          <w:szCs w:val="22"/>
        </w:rPr>
      </w:pPr>
      <w:r w:rsidRPr="005D0DC7">
        <w:rPr>
          <w:b/>
          <w:sz w:val="22"/>
          <w:szCs w:val="22"/>
        </w:rPr>
        <w:t xml:space="preserve">MADDE </w:t>
      </w:r>
      <w:proofErr w:type="gramStart"/>
      <w:r w:rsidRPr="005D0DC7">
        <w:rPr>
          <w:b/>
          <w:sz w:val="22"/>
          <w:szCs w:val="22"/>
        </w:rPr>
        <w:t>10 -</w:t>
      </w:r>
      <w:proofErr w:type="gramEnd"/>
      <w:r w:rsidRPr="005D0DC7">
        <w:rPr>
          <w:b/>
          <w:sz w:val="22"/>
          <w:szCs w:val="22"/>
        </w:rPr>
        <w:t xml:space="preserve"> </w:t>
      </w:r>
      <w:r w:rsidRPr="005D0DC7">
        <w:rPr>
          <w:sz w:val="22"/>
          <w:szCs w:val="22"/>
        </w:rPr>
        <w:t>Yurtiçi Değişim Programı Birimi, anlaşmalı üniversitelere gidecek            öğrencilerin listesini ilgili üniversitelere iletir.</w:t>
      </w:r>
    </w:p>
    <w:p w14:paraId="7423F409" w14:textId="35192FEF" w:rsidR="00ED05FC" w:rsidRPr="005D0DC7" w:rsidRDefault="000A08A0" w:rsidP="000A08A0">
      <w:pPr>
        <w:pStyle w:val="GvdeMetni"/>
        <w:tabs>
          <w:tab w:val="left" w:pos="9198"/>
        </w:tabs>
        <w:rPr>
          <w:sz w:val="22"/>
          <w:szCs w:val="22"/>
        </w:rPr>
      </w:pPr>
      <w:r w:rsidRPr="005D0DC7">
        <w:rPr>
          <w:b/>
          <w:sz w:val="22"/>
          <w:szCs w:val="22"/>
        </w:rPr>
        <w:t xml:space="preserve">MADDE </w:t>
      </w:r>
      <w:proofErr w:type="gramStart"/>
      <w:r w:rsidRPr="005D0DC7">
        <w:rPr>
          <w:b/>
          <w:sz w:val="22"/>
          <w:szCs w:val="22"/>
        </w:rPr>
        <w:t>11 -</w:t>
      </w:r>
      <w:proofErr w:type="gramEnd"/>
      <w:r w:rsidRPr="005D0DC7">
        <w:rPr>
          <w:b/>
          <w:sz w:val="22"/>
          <w:szCs w:val="22"/>
        </w:rPr>
        <w:t xml:space="preserve"> </w:t>
      </w:r>
      <w:r w:rsidRPr="005D0DC7">
        <w:rPr>
          <w:sz w:val="22"/>
          <w:szCs w:val="22"/>
        </w:rPr>
        <w:t>Öğrenci ilgili işlemleri başlatmak ve biriminden ilgili programın değişim iznini almak için dosyasını hazırlayarak Dekanlığa/Müdürlüğe sunar. Bu dosyada öğren- cinin Yurtiçi Değişim Programı Biriminden aldığı ve değişim programından yararlanmaya hak kazandığına dair belge, Öğrenim Sözleşmesi ve izin dilekçesi bulunur. Öğrencinin dosyasını, ilgili bölümün AKTS koordinatörü ve bölüm intibak komisyonu üyelerinden oluşan Değişim Programı Komisyonuna iletilir. Değişim Programı Komisyonu Öğrenim Sözleşmesinin arka sayfasında ayrılmış yere görüşünü belirterek dosyayı Fakülte/Yüksekokul/Meslek Yüksekokul Yönetim Kuruluna</w:t>
      </w:r>
      <w:r w:rsidRPr="005D0DC7">
        <w:rPr>
          <w:spacing w:val="-1"/>
          <w:sz w:val="22"/>
          <w:szCs w:val="22"/>
        </w:rPr>
        <w:t xml:space="preserve"> </w:t>
      </w:r>
      <w:r w:rsidRPr="005D0DC7">
        <w:rPr>
          <w:sz w:val="22"/>
          <w:szCs w:val="22"/>
        </w:rPr>
        <w:t>iletir.</w:t>
      </w:r>
    </w:p>
    <w:p w14:paraId="2255F47C" w14:textId="71B84B22" w:rsidR="00ED05FC" w:rsidRPr="005D0DC7" w:rsidRDefault="000A08A0" w:rsidP="000A08A0">
      <w:pPr>
        <w:pStyle w:val="GvdeMetni"/>
        <w:tabs>
          <w:tab w:val="left" w:pos="9198"/>
        </w:tabs>
        <w:spacing w:before="1"/>
        <w:rPr>
          <w:sz w:val="22"/>
          <w:szCs w:val="22"/>
        </w:rPr>
      </w:pPr>
      <w:r w:rsidRPr="005D0DC7">
        <w:rPr>
          <w:b/>
          <w:sz w:val="22"/>
          <w:szCs w:val="22"/>
        </w:rPr>
        <w:t xml:space="preserve">MADDE </w:t>
      </w:r>
      <w:proofErr w:type="gramStart"/>
      <w:r w:rsidRPr="005D0DC7">
        <w:rPr>
          <w:b/>
          <w:sz w:val="22"/>
          <w:szCs w:val="22"/>
        </w:rPr>
        <w:t>12 -</w:t>
      </w:r>
      <w:proofErr w:type="gramEnd"/>
      <w:r w:rsidRPr="005D0DC7">
        <w:rPr>
          <w:b/>
          <w:sz w:val="22"/>
          <w:szCs w:val="22"/>
        </w:rPr>
        <w:t xml:space="preserve"> </w:t>
      </w:r>
      <w:r w:rsidRPr="005D0DC7">
        <w:rPr>
          <w:sz w:val="22"/>
          <w:szCs w:val="22"/>
        </w:rPr>
        <w:t>Öğrencinin değişim programına katılımı konusunda ilgili Yönetim          Kurulunca verilen izin ve Öğrenim Sözleşmesinin bir kopyası ilgili Öğrenci İşleri bürosuna ve Öğrenim Sözleşmesinin aslı Yurtiçi Değişim Programı Birimine iletilir.</w:t>
      </w:r>
    </w:p>
    <w:p w14:paraId="5690EC39" w14:textId="77777777" w:rsidR="00ED05FC" w:rsidRPr="005D0DC7" w:rsidRDefault="000A08A0" w:rsidP="000A08A0">
      <w:pPr>
        <w:pStyle w:val="GvdeMetni"/>
        <w:tabs>
          <w:tab w:val="left" w:pos="9198"/>
        </w:tabs>
        <w:ind w:right="123"/>
        <w:rPr>
          <w:sz w:val="22"/>
          <w:szCs w:val="22"/>
        </w:rPr>
      </w:pPr>
      <w:r w:rsidRPr="005D0DC7">
        <w:rPr>
          <w:b/>
          <w:sz w:val="22"/>
          <w:szCs w:val="22"/>
        </w:rPr>
        <w:t xml:space="preserve">MADDE </w:t>
      </w:r>
      <w:proofErr w:type="gramStart"/>
      <w:r w:rsidRPr="005D0DC7">
        <w:rPr>
          <w:b/>
          <w:sz w:val="22"/>
          <w:szCs w:val="22"/>
        </w:rPr>
        <w:t>13 -</w:t>
      </w:r>
      <w:proofErr w:type="gramEnd"/>
      <w:r w:rsidRPr="005D0DC7">
        <w:rPr>
          <w:b/>
          <w:sz w:val="22"/>
          <w:szCs w:val="22"/>
        </w:rPr>
        <w:t xml:space="preserve"> </w:t>
      </w:r>
      <w:r w:rsidRPr="005D0DC7">
        <w:rPr>
          <w:sz w:val="22"/>
          <w:szCs w:val="22"/>
        </w:rPr>
        <w:t>Yurtiçi Değişim programı Kurum Koordinatörünce imzalanan Öğrenim Sözleşmesi Yurtiçi Değişim Programı Birimi tarafından öğrenciye iletilir.</w:t>
      </w:r>
    </w:p>
    <w:p w14:paraId="10C322DF" w14:textId="72F5A0EC" w:rsidR="00ED05FC" w:rsidRPr="005D0DC7" w:rsidRDefault="000A08A0" w:rsidP="000A08A0">
      <w:pPr>
        <w:pStyle w:val="GvdeMetni"/>
        <w:tabs>
          <w:tab w:val="left" w:pos="9198"/>
        </w:tabs>
        <w:ind w:right="115"/>
        <w:rPr>
          <w:sz w:val="22"/>
          <w:szCs w:val="22"/>
        </w:rPr>
      </w:pPr>
      <w:r w:rsidRPr="005D0DC7">
        <w:rPr>
          <w:b/>
          <w:sz w:val="22"/>
          <w:szCs w:val="22"/>
        </w:rPr>
        <w:t xml:space="preserve">MADDE </w:t>
      </w:r>
      <w:proofErr w:type="gramStart"/>
      <w:r w:rsidRPr="005D0DC7">
        <w:rPr>
          <w:b/>
          <w:sz w:val="22"/>
          <w:szCs w:val="22"/>
        </w:rPr>
        <w:t>14 -</w:t>
      </w:r>
      <w:proofErr w:type="gramEnd"/>
      <w:r w:rsidRPr="005D0DC7">
        <w:rPr>
          <w:b/>
          <w:sz w:val="22"/>
          <w:szCs w:val="22"/>
        </w:rPr>
        <w:t xml:space="preserve"> </w:t>
      </w:r>
      <w:r w:rsidRPr="005D0DC7">
        <w:rPr>
          <w:sz w:val="22"/>
          <w:szCs w:val="22"/>
        </w:rPr>
        <w:t>Öğrenci değişim sonrasında Tekirdağ Namık Kemal Üniversitesine döndüğünde, gittiği üniversiteden aldığı derslerin not döküm belgesini (transcript</w:t>
      </w:r>
      <w:bookmarkStart w:id="0" w:name="_GoBack"/>
      <w:bookmarkEnd w:id="0"/>
      <w:r w:rsidRPr="005D0DC7">
        <w:rPr>
          <w:sz w:val="22"/>
          <w:szCs w:val="22"/>
        </w:rPr>
        <w:t>) Tekirdağ Namık Kemal Üniversitesi not döküm belgesine işlenmek üzere ilgili Öğrenci İşleri bürosuna teslim eder.</w:t>
      </w:r>
    </w:p>
    <w:p w14:paraId="291D8886" w14:textId="7B2AFC14" w:rsidR="00ED05FC" w:rsidRPr="005D0DC7" w:rsidRDefault="000A08A0" w:rsidP="000A08A0">
      <w:pPr>
        <w:pStyle w:val="GvdeMetni"/>
        <w:tabs>
          <w:tab w:val="left" w:pos="9198"/>
        </w:tabs>
        <w:ind w:right="116"/>
        <w:rPr>
          <w:sz w:val="22"/>
          <w:szCs w:val="22"/>
        </w:rPr>
      </w:pPr>
      <w:r w:rsidRPr="005D0DC7">
        <w:rPr>
          <w:b/>
          <w:sz w:val="22"/>
          <w:szCs w:val="22"/>
        </w:rPr>
        <w:t xml:space="preserve">MADDE </w:t>
      </w:r>
      <w:proofErr w:type="gramStart"/>
      <w:r w:rsidRPr="005D0DC7">
        <w:rPr>
          <w:b/>
          <w:sz w:val="22"/>
          <w:szCs w:val="22"/>
        </w:rPr>
        <w:t>15 -</w:t>
      </w:r>
      <w:proofErr w:type="gramEnd"/>
      <w:r w:rsidRPr="005D0DC7">
        <w:rPr>
          <w:b/>
          <w:sz w:val="22"/>
          <w:szCs w:val="22"/>
        </w:rPr>
        <w:t xml:space="preserve"> </w:t>
      </w:r>
      <w:r w:rsidRPr="005D0DC7">
        <w:rPr>
          <w:sz w:val="22"/>
          <w:szCs w:val="22"/>
        </w:rPr>
        <w:t>Değişim programı ile üniversitemize gelen öğrencilere aldıkları dersin adını, birim saatini ve başarı notunu gösteren bir döküm belgesi (transcript) verilir. Bu belge; birim yetkililerince imzalanır, bir sureti ilgili birimin arşivinde ve ilgili Öğrenci İşleri bürosunda saklanır.</w:t>
      </w:r>
    </w:p>
    <w:p w14:paraId="6D0B4967" w14:textId="77777777" w:rsidR="00ED05FC" w:rsidRPr="005D0DC7" w:rsidRDefault="000A08A0" w:rsidP="000A08A0">
      <w:pPr>
        <w:pStyle w:val="GvdeMetni"/>
        <w:tabs>
          <w:tab w:val="left" w:pos="9198"/>
        </w:tabs>
        <w:ind w:right="115"/>
        <w:rPr>
          <w:sz w:val="22"/>
          <w:szCs w:val="22"/>
        </w:rPr>
      </w:pPr>
      <w:r w:rsidRPr="005D0DC7">
        <w:rPr>
          <w:b/>
          <w:sz w:val="22"/>
          <w:szCs w:val="22"/>
        </w:rPr>
        <w:t xml:space="preserve">MADDE </w:t>
      </w:r>
      <w:proofErr w:type="gramStart"/>
      <w:r w:rsidRPr="005D0DC7">
        <w:rPr>
          <w:b/>
          <w:sz w:val="22"/>
          <w:szCs w:val="22"/>
        </w:rPr>
        <w:t>16 -</w:t>
      </w:r>
      <w:proofErr w:type="gramEnd"/>
      <w:r w:rsidRPr="005D0DC7">
        <w:rPr>
          <w:b/>
          <w:sz w:val="22"/>
          <w:szCs w:val="22"/>
        </w:rPr>
        <w:t xml:space="preserve"> </w:t>
      </w:r>
      <w:r w:rsidRPr="005D0DC7">
        <w:rPr>
          <w:sz w:val="22"/>
          <w:szCs w:val="22"/>
        </w:rPr>
        <w:t>Değişim programından faydalanan öğretim elemanları dönüşlerinde gerçekleştirdikleri akademik etkinlikleri bir raporla birlikte ve gittiği kurumdan aldığı etkinlik katılım belgesini Kurumuna sunar.</w:t>
      </w:r>
    </w:p>
    <w:p w14:paraId="650BF49E" w14:textId="4304BE3E" w:rsidR="00ED05FC" w:rsidRPr="005D0DC7" w:rsidRDefault="000A08A0" w:rsidP="000A08A0">
      <w:pPr>
        <w:pStyle w:val="GvdeMetni"/>
        <w:tabs>
          <w:tab w:val="left" w:pos="9198"/>
        </w:tabs>
        <w:ind w:right="114"/>
        <w:rPr>
          <w:sz w:val="22"/>
          <w:szCs w:val="22"/>
        </w:rPr>
      </w:pPr>
      <w:r w:rsidRPr="005D0DC7">
        <w:rPr>
          <w:b/>
          <w:sz w:val="22"/>
          <w:szCs w:val="22"/>
        </w:rPr>
        <w:t xml:space="preserve">MADDE </w:t>
      </w:r>
      <w:proofErr w:type="gramStart"/>
      <w:r w:rsidRPr="005D0DC7">
        <w:rPr>
          <w:b/>
          <w:sz w:val="22"/>
          <w:szCs w:val="22"/>
        </w:rPr>
        <w:t>17 -</w:t>
      </w:r>
      <w:proofErr w:type="gramEnd"/>
      <w:r w:rsidRPr="005D0DC7">
        <w:rPr>
          <w:b/>
          <w:sz w:val="22"/>
          <w:szCs w:val="22"/>
        </w:rPr>
        <w:t xml:space="preserve"> </w:t>
      </w:r>
      <w:r w:rsidRPr="005D0DC7">
        <w:rPr>
          <w:sz w:val="22"/>
          <w:szCs w:val="22"/>
        </w:rPr>
        <w:t>Üniversitemize gelip değişim programından faydalanan öğretim              elemanlarına Dekanlık / Müdürlük tarafından kaldıkları süreleri, yaptıkları etkinlikleri, kullandıkları izin ve sağlık raporlarını içeren bir belge verilir ve kurum yetkilisi tarafından onaylanır.</w:t>
      </w:r>
    </w:p>
    <w:p w14:paraId="53C05EAE" w14:textId="15FD0F9B" w:rsidR="000A08A0" w:rsidRPr="005D0DC7" w:rsidRDefault="000A08A0" w:rsidP="000A08A0">
      <w:pPr>
        <w:pStyle w:val="GvdeMetni"/>
        <w:tabs>
          <w:tab w:val="left" w:pos="9198"/>
        </w:tabs>
        <w:ind w:right="114"/>
        <w:rPr>
          <w:sz w:val="22"/>
          <w:szCs w:val="22"/>
        </w:rPr>
      </w:pPr>
    </w:p>
    <w:p w14:paraId="501A1E58" w14:textId="150AED6A" w:rsidR="000A08A0" w:rsidRPr="005D0DC7" w:rsidRDefault="000A08A0" w:rsidP="000A08A0">
      <w:pPr>
        <w:pStyle w:val="GvdeMetni"/>
        <w:tabs>
          <w:tab w:val="left" w:pos="9198"/>
        </w:tabs>
        <w:ind w:right="114"/>
        <w:rPr>
          <w:sz w:val="22"/>
          <w:szCs w:val="22"/>
        </w:rPr>
      </w:pPr>
    </w:p>
    <w:p w14:paraId="5F42AE02" w14:textId="1C1A6CE7" w:rsidR="000A08A0" w:rsidRPr="005D0DC7" w:rsidRDefault="000A08A0" w:rsidP="000A08A0">
      <w:pPr>
        <w:pStyle w:val="GvdeMetni"/>
        <w:tabs>
          <w:tab w:val="left" w:pos="9198"/>
        </w:tabs>
        <w:ind w:right="114"/>
        <w:rPr>
          <w:sz w:val="22"/>
          <w:szCs w:val="22"/>
        </w:rPr>
      </w:pPr>
    </w:p>
    <w:p w14:paraId="3EA84BAD" w14:textId="596BFD85" w:rsidR="000A08A0" w:rsidRPr="005D0DC7" w:rsidRDefault="000A08A0" w:rsidP="000A08A0">
      <w:pPr>
        <w:pStyle w:val="GvdeMetni"/>
        <w:tabs>
          <w:tab w:val="left" w:pos="9198"/>
        </w:tabs>
        <w:ind w:right="114"/>
        <w:rPr>
          <w:sz w:val="22"/>
          <w:szCs w:val="22"/>
        </w:rPr>
      </w:pPr>
      <w:r w:rsidRPr="005D0DC7">
        <w:rPr>
          <w:sz w:val="22"/>
          <w:szCs w:val="22"/>
        </w:rPr>
        <w:t>*Yürürlük Tarihi: 12.02.2008</w:t>
      </w:r>
    </w:p>
    <w:p w14:paraId="30F2FD3A" w14:textId="5E32D6FD" w:rsidR="000A08A0" w:rsidRPr="005D0DC7" w:rsidRDefault="000A08A0" w:rsidP="000A08A0">
      <w:pPr>
        <w:pStyle w:val="GvdeMetni"/>
        <w:tabs>
          <w:tab w:val="left" w:pos="9198"/>
        </w:tabs>
        <w:ind w:right="114"/>
        <w:rPr>
          <w:sz w:val="22"/>
          <w:szCs w:val="22"/>
        </w:rPr>
      </w:pPr>
      <w:r w:rsidRPr="005D0DC7">
        <w:rPr>
          <w:sz w:val="22"/>
          <w:szCs w:val="22"/>
        </w:rPr>
        <w:t xml:space="preserve">*İlgili Birim: Farabi Koordinatörlüğü </w:t>
      </w:r>
    </w:p>
    <w:sectPr w:rsidR="000A08A0" w:rsidRPr="005D0DC7" w:rsidSect="000A08A0">
      <w:pgSz w:w="11910" w:h="16840"/>
      <w:pgMar w:top="1320" w:right="995"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FDE05" w14:textId="77777777" w:rsidR="00D86D7B" w:rsidRDefault="00D86D7B" w:rsidP="005D0DC7">
      <w:r>
        <w:separator/>
      </w:r>
    </w:p>
  </w:endnote>
  <w:endnote w:type="continuationSeparator" w:id="0">
    <w:p w14:paraId="3BA67D1F" w14:textId="77777777" w:rsidR="00D86D7B" w:rsidRDefault="00D86D7B" w:rsidP="005D0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7B3E9" w14:textId="77777777" w:rsidR="00D86D7B" w:rsidRDefault="00D86D7B" w:rsidP="005D0DC7">
      <w:r>
        <w:separator/>
      </w:r>
    </w:p>
  </w:footnote>
  <w:footnote w:type="continuationSeparator" w:id="0">
    <w:p w14:paraId="664EF729" w14:textId="77777777" w:rsidR="00D86D7B" w:rsidRDefault="00D86D7B" w:rsidP="005D0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rmal"/>
      <w:tblpPr w:leftFromText="141" w:rightFromText="141" w:vertAnchor="text" w:tblpY="1"/>
      <w:tblOverlap w:val="never"/>
      <w:tblW w:w="96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06"/>
      <w:gridCol w:w="4111"/>
      <w:gridCol w:w="2010"/>
      <w:gridCol w:w="1825"/>
    </w:tblGrid>
    <w:tr w:rsidR="005D0DC7" w:rsidRPr="004C4A7F" w14:paraId="1A96BEE2" w14:textId="77777777" w:rsidTr="00AB25C9">
      <w:trPr>
        <w:trHeight w:val="330"/>
      </w:trPr>
      <w:tc>
        <w:tcPr>
          <w:tcW w:w="1706" w:type="dxa"/>
          <w:vMerge w:val="restart"/>
          <w:tcBorders>
            <w:top w:val="single" w:sz="4" w:space="0" w:color="auto"/>
            <w:left w:val="single" w:sz="4" w:space="0" w:color="auto"/>
            <w:right w:val="single" w:sz="6" w:space="0" w:color="000000"/>
          </w:tcBorders>
        </w:tcPr>
        <w:p w14:paraId="071A1C94" w14:textId="77777777" w:rsidR="005D0DC7" w:rsidRPr="004C4A7F" w:rsidRDefault="005D0DC7" w:rsidP="00AB25C9">
          <w:pPr>
            <w:spacing w:before="2"/>
            <w:rPr>
              <w:rFonts w:eastAsia="Calibri" w:hAnsi="Calibri" w:cs="Calibri"/>
              <w:sz w:val="8"/>
            </w:rPr>
          </w:pPr>
        </w:p>
        <w:p w14:paraId="0FC708AD" w14:textId="77777777" w:rsidR="005D0DC7" w:rsidRPr="004C4A7F" w:rsidRDefault="005D0DC7" w:rsidP="00AB25C9">
          <w:pPr>
            <w:ind w:left="323"/>
            <w:rPr>
              <w:rFonts w:eastAsia="Calibri" w:hAnsi="Calibri" w:cs="Calibri"/>
              <w:sz w:val="20"/>
            </w:rPr>
          </w:pPr>
          <w:r w:rsidRPr="004C4A7F">
            <w:rPr>
              <w:rFonts w:eastAsia="Calibri" w:hAnsi="Calibri" w:cs="Calibri"/>
              <w:noProof/>
              <w:sz w:val="20"/>
            </w:rPr>
            <w:drawing>
              <wp:anchor distT="0" distB="0" distL="114300" distR="114300" simplePos="0" relativeHeight="251659264" behindDoc="1" locked="0" layoutInCell="1" allowOverlap="1" wp14:anchorId="2D6E153E" wp14:editId="4730A1D9">
                <wp:simplePos x="0" y="0"/>
                <wp:positionH relativeFrom="column">
                  <wp:posOffset>101599</wp:posOffset>
                </wp:positionH>
                <wp:positionV relativeFrom="paragraph">
                  <wp:posOffset>74295</wp:posOffset>
                </wp:positionV>
                <wp:extent cx="885825" cy="876300"/>
                <wp:effectExtent l="0" t="0" r="9525"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6096" cy="876568"/>
                        </a:xfrm>
                        <a:prstGeom prst="rect">
                          <a:avLst/>
                        </a:prstGeom>
                      </pic:spPr>
                    </pic:pic>
                  </a:graphicData>
                </a:graphic>
                <wp14:sizeRelH relativeFrom="margin">
                  <wp14:pctWidth>0</wp14:pctWidth>
                </wp14:sizeRelH>
                <wp14:sizeRelV relativeFrom="margin">
                  <wp14:pctHeight>0</wp14:pctHeight>
                </wp14:sizeRelV>
              </wp:anchor>
            </w:drawing>
          </w:r>
        </w:p>
      </w:tc>
      <w:tc>
        <w:tcPr>
          <w:tcW w:w="4111" w:type="dxa"/>
          <w:vMerge w:val="restart"/>
          <w:tcBorders>
            <w:top w:val="single" w:sz="4" w:space="0" w:color="auto"/>
            <w:left w:val="single" w:sz="6" w:space="0" w:color="000000"/>
            <w:right w:val="single" w:sz="6" w:space="0" w:color="000000"/>
          </w:tcBorders>
        </w:tcPr>
        <w:p w14:paraId="6C1222B4" w14:textId="77777777" w:rsidR="005D0DC7" w:rsidRDefault="005D0DC7" w:rsidP="00AB25C9">
          <w:pPr>
            <w:ind w:left="320" w:right="265"/>
            <w:jc w:val="center"/>
            <w:rPr>
              <w:rFonts w:eastAsia="Calibri"/>
              <w:b/>
            </w:rPr>
          </w:pPr>
          <w:r w:rsidRPr="005D0DC7">
            <w:rPr>
              <w:rFonts w:eastAsia="Calibri"/>
              <w:b/>
            </w:rPr>
            <w:t xml:space="preserve">TNKÜ </w:t>
          </w:r>
        </w:p>
        <w:p w14:paraId="0320DE1B" w14:textId="77777777" w:rsidR="005D0DC7" w:rsidRDefault="005D0DC7" w:rsidP="00AB25C9">
          <w:pPr>
            <w:ind w:left="320" w:right="265"/>
            <w:jc w:val="center"/>
            <w:rPr>
              <w:b/>
            </w:rPr>
          </w:pPr>
          <w:r w:rsidRPr="005D0DC7">
            <w:rPr>
              <w:b/>
            </w:rPr>
            <w:t xml:space="preserve">TÜRK YÜKSEKÖĞRETİM KURUMLARI ARASINDA ÖĞRENCİ VE ÖĞRETİM ELEMANLARI ARASINDAKİ DEĞİŞİM PROGRAMI </w:t>
          </w:r>
        </w:p>
        <w:p w14:paraId="61A47D15" w14:textId="0ECA54B8" w:rsidR="005D0DC7" w:rsidRPr="005D0DC7" w:rsidRDefault="005D0DC7" w:rsidP="00AB25C9">
          <w:pPr>
            <w:ind w:left="320" w:right="265"/>
            <w:jc w:val="center"/>
            <w:rPr>
              <w:b/>
            </w:rPr>
          </w:pPr>
          <w:r w:rsidRPr="005D0DC7">
            <w:rPr>
              <w:b/>
            </w:rPr>
            <w:t>ESASLARI</w:t>
          </w:r>
        </w:p>
      </w:tc>
      <w:tc>
        <w:tcPr>
          <w:tcW w:w="2010" w:type="dxa"/>
          <w:tcBorders>
            <w:top w:val="single" w:sz="4" w:space="0" w:color="auto"/>
            <w:left w:val="single" w:sz="6" w:space="0" w:color="000000"/>
            <w:bottom w:val="single" w:sz="6" w:space="0" w:color="000000"/>
            <w:right w:val="single" w:sz="6" w:space="0" w:color="000000"/>
          </w:tcBorders>
          <w:vAlign w:val="center"/>
        </w:tcPr>
        <w:p w14:paraId="7E5F7D38" w14:textId="77777777" w:rsidR="005D0DC7" w:rsidRPr="00AB25C9" w:rsidRDefault="005D0DC7" w:rsidP="00AB25C9">
          <w:pPr>
            <w:rPr>
              <w:rFonts w:eastAsia="Calibri"/>
              <w:sz w:val="20"/>
              <w:szCs w:val="20"/>
            </w:rPr>
          </w:pPr>
          <w:r w:rsidRPr="00AB25C9">
            <w:rPr>
              <w:rFonts w:eastAsia="Calibri"/>
              <w:sz w:val="20"/>
              <w:szCs w:val="20"/>
            </w:rPr>
            <w:t>Doküman No:</w:t>
          </w:r>
        </w:p>
      </w:tc>
      <w:tc>
        <w:tcPr>
          <w:tcW w:w="1825" w:type="dxa"/>
          <w:tcBorders>
            <w:top w:val="single" w:sz="4" w:space="0" w:color="auto"/>
            <w:left w:val="single" w:sz="6" w:space="0" w:color="000000"/>
            <w:bottom w:val="single" w:sz="6" w:space="0" w:color="000000"/>
            <w:right w:val="single" w:sz="4" w:space="0" w:color="auto"/>
          </w:tcBorders>
          <w:vAlign w:val="center"/>
        </w:tcPr>
        <w:p w14:paraId="3053D172" w14:textId="795B1D9D" w:rsidR="005D0DC7" w:rsidRPr="00AB25C9" w:rsidRDefault="005D0DC7" w:rsidP="00AB25C9">
          <w:pPr>
            <w:rPr>
              <w:rFonts w:eastAsia="Calibri"/>
              <w:sz w:val="20"/>
              <w:szCs w:val="20"/>
            </w:rPr>
          </w:pPr>
          <w:r w:rsidRPr="00AB25C9">
            <w:rPr>
              <w:rFonts w:eastAsia="Calibri"/>
              <w:sz w:val="20"/>
              <w:szCs w:val="20"/>
            </w:rPr>
            <w:t xml:space="preserve"> EYS-</w:t>
          </w:r>
          <w:r w:rsidR="005C1C0A">
            <w:rPr>
              <w:rFonts w:eastAsia="Calibri"/>
              <w:sz w:val="20"/>
              <w:szCs w:val="20"/>
            </w:rPr>
            <w:t>EVU</w:t>
          </w:r>
          <w:r w:rsidRPr="00AB25C9">
            <w:rPr>
              <w:rFonts w:eastAsia="Calibri"/>
              <w:sz w:val="20"/>
              <w:szCs w:val="20"/>
            </w:rPr>
            <w:t>-</w:t>
          </w:r>
          <w:r w:rsidR="005C1C0A">
            <w:rPr>
              <w:rFonts w:eastAsia="Calibri"/>
              <w:sz w:val="20"/>
              <w:szCs w:val="20"/>
            </w:rPr>
            <w:t>013</w:t>
          </w:r>
        </w:p>
      </w:tc>
    </w:tr>
    <w:tr w:rsidR="005D0DC7" w:rsidRPr="004C4A7F" w14:paraId="1D5D25DC" w14:textId="77777777" w:rsidTr="00AB25C9">
      <w:trPr>
        <w:trHeight w:val="330"/>
      </w:trPr>
      <w:tc>
        <w:tcPr>
          <w:tcW w:w="1706" w:type="dxa"/>
          <w:vMerge/>
          <w:tcBorders>
            <w:top w:val="nil"/>
            <w:left w:val="single" w:sz="4" w:space="0" w:color="auto"/>
            <w:right w:val="single" w:sz="6" w:space="0" w:color="000000"/>
          </w:tcBorders>
        </w:tcPr>
        <w:p w14:paraId="2425ADFC" w14:textId="77777777" w:rsidR="005D0DC7" w:rsidRPr="004C4A7F" w:rsidRDefault="005D0DC7" w:rsidP="00AB25C9">
          <w:pPr>
            <w:rPr>
              <w:rFonts w:ascii="Calibri" w:eastAsia="Calibri" w:hAnsi="Calibri" w:cs="Calibri"/>
              <w:sz w:val="2"/>
              <w:szCs w:val="2"/>
            </w:rPr>
          </w:pPr>
        </w:p>
      </w:tc>
      <w:tc>
        <w:tcPr>
          <w:tcW w:w="4111" w:type="dxa"/>
          <w:vMerge/>
          <w:tcBorders>
            <w:top w:val="nil"/>
            <w:left w:val="single" w:sz="6" w:space="0" w:color="000000"/>
            <w:right w:val="single" w:sz="6" w:space="0" w:color="000000"/>
          </w:tcBorders>
        </w:tcPr>
        <w:p w14:paraId="549053C5" w14:textId="77777777" w:rsidR="005D0DC7" w:rsidRPr="004C4A7F" w:rsidRDefault="005D0DC7" w:rsidP="00AB25C9">
          <w:pPr>
            <w:rPr>
              <w:rFonts w:ascii="Calibri" w:eastAsia="Calibri" w:hAnsi="Calibri" w:cs="Calibri"/>
              <w:sz w:val="2"/>
              <w:szCs w:val="2"/>
            </w:rPr>
          </w:pPr>
        </w:p>
      </w:tc>
      <w:tc>
        <w:tcPr>
          <w:tcW w:w="2010" w:type="dxa"/>
          <w:tcBorders>
            <w:top w:val="single" w:sz="6" w:space="0" w:color="000000"/>
            <w:left w:val="single" w:sz="6" w:space="0" w:color="000000"/>
            <w:bottom w:val="single" w:sz="6" w:space="0" w:color="000000"/>
            <w:right w:val="single" w:sz="6" w:space="0" w:color="000000"/>
          </w:tcBorders>
          <w:vAlign w:val="center"/>
        </w:tcPr>
        <w:p w14:paraId="3FEA8163" w14:textId="77777777" w:rsidR="005D0DC7" w:rsidRPr="00AB25C9" w:rsidRDefault="005D0DC7" w:rsidP="00AB25C9">
          <w:pPr>
            <w:rPr>
              <w:rFonts w:eastAsia="Calibri"/>
              <w:sz w:val="20"/>
              <w:szCs w:val="20"/>
            </w:rPr>
          </w:pPr>
          <w:r w:rsidRPr="00AB25C9">
            <w:rPr>
              <w:rFonts w:eastAsia="Calibri"/>
              <w:sz w:val="20"/>
              <w:szCs w:val="20"/>
            </w:rPr>
            <w:t>Hazırlama Tarihi:</w:t>
          </w:r>
        </w:p>
      </w:tc>
      <w:tc>
        <w:tcPr>
          <w:tcW w:w="1825" w:type="dxa"/>
          <w:tcBorders>
            <w:top w:val="single" w:sz="6" w:space="0" w:color="000000"/>
            <w:left w:val="single" w:sz="6" w:space="0" w:color="000000"/>
            <w:bottom w:val="single" w:sz="6" w:space="0" w:color="000000"/>
            <w:right w:val="single" w:sz="4" w:space="0" w:color="auto"/>
          </w:tcBorders>
          <w:vAlign w:val="center"/>
        </w:tcPr>
        <w:p w14:paraId="22727E1F" w14:textId="77777777" w:rsidR="005D0DC7" w:rsidRPr="00AB25C9" w:rsidRDefault="005D0DC7" w:rsidP="00AB25C9">
          <w:pPr>
            <w:rPr>
              <w:rFonts w:eastAsia="Calibri"/>
              <w:sz w:val="20"/>
              <w:szCs w:val="20"/>
            </w:rPr>
          </w:pPr>
          <w:r w:rsidRPr="00AB25C9">
            <w:rPr>
              <w:rFonts w:eastAsia="Calibri"/>
              <w:sz w:val="20"/>
              <w:szCs w:val="20"/>
            </w:rPr>
            <w:t xml:space="preserve"> 01.11.2021</w:t>
          </w:r>
        </w:p>
      </w:tc>
    </w:tr>
    <w:tr w:rsidR="005D0DC7" w:rsidRPr="004C4A7F" w14:paraId="2E8D0A17" w14:textId="77777777" w:rsidTr="00AB25C9">
      <w:trPr>
        <w:trHeight w:val="330"/>
      </w:trPr>
      <w:tc>
        <w:tcPr>
          <w:tcW w:w="1706" w:type="dxa"/>
          <w:vMerge/>
          <w:tcBorders>
            <w:top w:val="nil"/>
            <w:left w:val="single" w:sz="4" w:space="0" w:color="auto"/>
            <w:right w:val="single" w:sz="6" w:space="0" w:color="000000"/>
          </w:tcBorders>
        </w:tcPr>
        <w:p w14:paraId="19821E0C" w14:textId="77777777" w:rsidR="005D0DC7" w:rsidRPr="004C4A7F" w:rsidRDefault="005D0DC7" w:rsidP="00AB25C9">
          <w:pPr>
            <w:rPr>
              <w:rFonts w:ascii="Calibri" w:eastAsia="Calibri" w:hAnsi="Calibri" w:cs="Calibri"/>
              <w:sz w:val="2"/>
              <w:szCs w:val="2"/>
            </w:rPr>
          </w:pPr>
        </w:p>
      </w:tc>
      <w:tc>
        <w:tcPr>
          <w:tcW w:w="4111" w:type="dxa"/>
          <w:vMerge/>
          <w:tcBorders>
            <w:top w:val="nil"/>
            <w:left w:val="single" w:sz="6" w:space="0" w:color="000000"/>
            <w:right w:val="single" w:sz="6" w:space="0" w:color="000000"/>
          </w:tcBorders>
        </w:tcPr>
        <w:p w14:paraId="2FC783E2" w14:textId="77777777" w:rsidR="005D0DC7" w:rsidRPr="004C4A7F" w:rsidRDefault="005D0DC7" w:rsidP="00AB25C9">
          <w:pPr>
            <w:rPr>
              <w:rFonts w:ascii="Calibri" w:eastAsia="Calibri" w:hAnsi="Calibri" w:cs="Calibri"/>
              <w:sz w:val="2"/>
              <w:szCs w:val="2"/>
            </w:rPr>
          </w:pPr>
        </w:p>
      </w:tc>
      <w:tc>
        <w:tcPr>
          <w:tcW w:w="2010" w:type="dxa"/>
          <w:tcBorders>
            <w:top w:val="single" w:sz="6" w:space="0" w:color="000000"/>
            <w:left w:val="single" w:sz="6" w:space="0" w:color="000000"/>
            <w:bottom w:val="single" w:sz="6" w:space="0" w:color="000000"/>
            <w:right w:val="single" w:sz="6" w:space="0" w:color="000000"/>
          </w:tcBorders>
          <w:vAlign w:val="center"/>
        </w:tcPr>
        <w:p w14:paraId="141B408F" w14:textId="77777777" w:rsidR="005D0DC7" w:rsidRPr="00AB25C9" w:rsidRDefault="005D0DC7" w:rsidP="00AB25C9">
          <w:pPr>
            <w:rPr>
              <w:rFonts w:eastAsia="Calibri"/>
              <w:sz w:val="20"/>
              <w:szCs w:val="20"/>
            </w:rPr>
          </w:pPr>
          <w:r w:rsidRPr="00AB25C9">
            <w:rPr>
              <w:rFonts w:eastAsia="Calibri"/>
              <w:sz w:val="20"/>
              <w:szCs w:val="20"/>
            </w:rPr>
            <w:t>Revizyon Tarihi:</w:t>
          </w:r>
        </w:p>
      </w:tc>
      <w:tc>
        <w:tcPr>
          <w:tcW w:w="1825" w:type="dxa"/>
          <w:tcBorders>
            <w:top w:val="single" w:sz="6" w:space="0" w:color="000000"/>
            <w:left w:val="single" w:sz="6" w:space="0" w:color="000000"/>
            <w:bottom w:val="single" w:sz="6" w:space="0" w:color="000000"/>
            <w:right w:val="single" w:sz="4" w:space="0" w:color="auto"/>
          </w:tcBorders>
          <w:vAlign w:val="center"/>
        </w:tcPr>
        <w:p w14:paraId="74885E0D" w14:textId="028F2E39" w:rsidR="005D0DC7" w:rsidRPr="00AB25C9" w:rsidRDefault="005D0DC7" w:rsidP="00AB25C9">
          <w:pPr>
            <w:rPr>
              <w:rFonts w:eastAsia="Calibri"/>
              <w:sz w:val="20"/>
              <w:szCs w:val="20"/>
            </w:rPr>
          </w:pPr>
          <w:r w:rsidRPr="00AB25C9">
            <w:rPr>
              <w:rFonts w:eastAsia="Calibri"/>
              <w:sz w:val="20"/>
              <w:szCs w:val="20"/>
            </w:rPr>
            <w:t xml:space="preserve"> </w:t>
          </w:r>
          <w:r w:rsidR="009431CD">
            <w:rPr>
              <w:rFonts w:eastAsia="Calibri"/>
              <w:sz w:val="20"/>
              <w:szCs w:val="20"/>
            </w:rPr>
            <w:t>--</w:t>
          </w:r>
        </w:p>
      </w:tc>
    </w:tr>
    <w:tr w:rsidR="005D0DC7" w:rsidRPr="004C4A7F" w14:paraId="39EC0C2F" w14:textId="77777777" w:rsidTr="00AB25C9">
      <w:trPr>
        <w:trHeight w:val="330"/>
      </w:trPr>
      <w:tc>
        <w:tcPr>
          <w:tcW w:w="1706" w:type="dxa"/>
          <w:vMerge/>
          <w:tcBorders>
            <w:top w:val="nil"/>
            <w:left w:val="single" w:sz="4" w:space="0" w:color="auto"/>
            <w:right w:val="single" w:sz="6" w:space="0" w:color="000000"/>
          </w:tcBorders>
        </w:tcPr>
        <w:p w14:paraId="73C8E773" w14:textId="77777777" w:rsidR="005D0DC7" w:rsidRPr="004C4A7F" w:rsidRDefault="005D0DC7" w:rsidP="00AB25C9">
          <w:pPr>
            <w:rPr>
              <w:rFonts w:ascii="Calibri" w:eastAsia="Calibri" w:hAnsi="Calibri" w:cs="Calibri"/>
              <w:sz w:val="2"/>
              <w:szCs w:val="2"/>
            </w:rPr>
          </w:pPr>
        </w:p>
      </w:tc>
      <w:tc>
        <w:tcPr>
          <w:tcW w:w="4111" w:type="dxa"/>
          <w:vMerge/>
          <w:tcBorders>
            <w:top w:val="nil"/>
            <w:left w:val="single" w:sz="6" w:space="0" w:color="000000"/>
            <w:right w:val="single" w:sz="6" w:space="0" w:color="000000"/>
          </w:tcBorders>
        </w:tcPr>
        <w:p w14:paraId="7D641179" w14:textId="77777777" w:rsidR="005D0DC7" w:rsidRPr="004C4A7F" w:rsidRDefault="005D0DC7" w:rsidP="00AB25C9">
          <w:pPr>
            <w:rPr>
              <w:rFonts w:ascii="Calibri" w:eastAsia="Calibri" w:hAnsi="Calibri" w:cs="Calibri"/>
              <w:sz w:val="2"/>
              <w:szCs w:val="2"/>
            </w:rPr>
          </w:pPr>
        </w:p>
      </w:tc>
      <w:tc>
        <w:tcPr>
          <w:tcW w:w="2010" w:type="dxa"/>
          <w:tcBorders>
            <w:top w:val="single" w:sz="6" w:space="0" w:color="000000"/>
            <w:left w:val="single" w:sz="6" w:space="0" w:color="000000"/>
            <w:bottom w:val="single" w:sz="6" w:space="0" w:color="000000"/>
            <w:right w:val="single" w:sz="6" w:space="0" w:color="000000"/>
          </w:tcBorders>
          <w:vAlign w:val="center"/>
        </w:tcPr>
        <w:p w14:paraId="02FF41FA" w14:textId="77777777" w:rsidR="005D0DC7" w:rsidRPr="00AB25C9" w:rsidRDefault="005D0DC7" w:rsidP="00AB25C9">
          <w:pPr>
            <w:rPr>
              <w:rFonts w:eastAsia="Calibri"/>
              <w:sz w:val="20"/>
              <w:szCs w:val="20"/>
            </w:rPr>
          </w:pPr>
          <w:r w:rsidRPr="00AB25C9">
            <w:rPr>
              <w:rFonts w:eastAsia="Calibri"/>
              <w:sz w:val="20"/>
              <w:szCs w:val="20"/>
            </w:rPr>
            <w:t>Revizyon No:</w:t>
          </w:r>
        </w:p>
      </w:tc>
      <w:tc>
        <w:tcPr>
          <w:tcW w:w="1825" w:type="dxa"/>
          <w:tcBorders>
            <w:top w:val="single" w:sz="6" w:space="0" w:color="000000"/>
            <w:left w:val="single" w:sz="6" w:space="0" w:color="000000"/>
            <w:bottom w:val="single" w:sz="6" w:space="0" w:color="000000"/>
            <w:right w:val="single" w:sz="4" w:space="0" w:color="auto"/>
          </w:tcBorders>
          <w:vAlign w:val="center"/>
        </w:tcPr>
        <w:p w14:paraId="1592C068" w14:textId="5F7A6DFF" w:rsidR="005D0DC7" w:rsidRPr="00AB25C9" w:rsidRDefault="005D0DC7" w:rsidP="00AB25C9">
          <w:pPr>
            <w:rPr>
              <w:rFonts w:eastAsia="Calibri"/>
              <w:sz w:val="20"/>
              <w:szCs w:val="20"/>
            </w:rPr>
          </w:pPr>
          <w:r w:rsidRPr="00AB25C9">
            <w:rPr>
              <w:rFonts w:eastAsia="Calibri"/>
              <w:sz w:val="20"/>
              <w:szCs w:val="20"/>
            </w:rPr>
            <w:t xml:space="preserve"> </w:t>
          </w:r>
          <w:r w:rsidR="009431CD">
            <w:rPr>
              <w:rFonts w:eastAsia="Calibri"/>
              <w:sz w:val="20"/>
              <w:szCs w:val="20"/>
            </w:rPr>
            <w:t>0</w:t>
          </w:r>
        </w:p>
      </w:tc>
    </w:tr>
    <w:tr w:rsidR="005D0DC7" w:rsidRPr="004C4A7F" w14:paraId="157B11FF" w14:textId="77777777" w:rsidTr="00AB25C9">
      <w:trPr>
        <w:trHeight w:val="331"/>
      </w:trPr>
      <w:tc>
        <w:tcPr>
          <w:tcW w:w="1706" w:type="dxa"/>
          <w:vMerge/>
          <w:tcBorders>
            <w:top w:val="nil"/>
            <w:left w:val="single" w:sz="4" w:space="0" w:color="auto"/>
            <w:bottom w:val="single" w:sz="4" w:space="0" w:color="auto"/>
            <w:right w:val="single" w:sz="6" w:space="0" w:color="000000"/>
          </w:tcBorders>
        </w:tcPr>
        <w:p w14:paraId="2F9C2C9C" w14:textId="77777777" w:rsidR="005D0DC7" w:rsidRPr="004C4A7F" w:rsidRDefault="005D0DC7" w:rsidP="00AB25C9">
          <w:pPr>
            <w:rPr>
              <w:rFonts w:ascii="Calibri" w:eastAsia="Calibri" w:hAnsi="Calibri" w:cs="Calibri"/>
              <w:sz w:val="2"/>
              <w:szCs w:val="2"/>
            </w:rPr>
          </w:pPr>
        </w:p>
      </w:tc>
      <w:tc>
        <w:tcPr>
          <w:tcW w:w="4111" w:type="dxa"/>
          <w:vMerge/>
          <w:tcBorders>
            <w:top w:val="nil"/>
            <w:left w:val="single" w:sz="6" w:space="0" w:color="000000"/>
            <w:bottom w:val="single" w:sz="4" w:space="0" w:color="auto"/>
            <w:right w:val="single" w:sz="6" w:space="0" w:color="000000"/>
          </w:tcBorders>
        </w:tcPr>
        <w:p w14:paraId="156825BB" w14:textId="77777777" w:rsidR="005D0DC7" w:rsidRPr="004C4A7F" w:rsidRDefault="005D0DC7" w:rsidP="00AB25C9">
          <w:pPr>
            <w:rPr>
              <w:rFonts w:ascii="Calibri" w:eastAsia="Calibri" w:hAnsi="Calibri" w:cs="Calibri"/>
              <w:sz w:val="2"/>
              <w:szCs w:val="2"/>
            </w:rPr>
          </w:pPr>
        </w:p>
      </w:tc>
      <w:tc>
        <w:tcPr>
          <w:tcW w:w="2010" w:type="dxa"/>
          <w:tcBorders>
            <w:top w:val="single" w:sz="6" w:space="0" w:color="000000"/>
            <w:left w:val="single" w:sz="6" w:space="0" w:color="000000"/>
            <w:bottom w:val="single" w:sz="4" w:space="0" w:color="auto"/>
            <w:right w:val="single" w:sz="6" w:space="0" w:color="000000"/>
          </w:tcBorders>
          <w:vAlign w:val="center"/>
        </w:tcPr>
        <w:p w14:paraId="577C2E3B" w14:textId="77777777" w:rsidR="005D0DC7" w:rsidRPr="00AB25C9" w:rsidRDefault="005D0DC7" w:rsidP="00AB25C9">
          <w:pPr>
            <w:rPr>
              <w:rFonts w:eastAsia="Calibri"/>
              <w:sz w:val="20"/>
              <w:szCs w:val="20"/>
            </w:rPr>
          </w:pPr>
          <w:r w:rsidRPr="00AB25C9">
            <w:rPr>
              <w:rFonts w:eastAsia="Calibri"/>
              <w:sz w:val="20"/>
              <w:szCs w:val="20"/>
            </w:rPr>
            <w:t>Toplam Sayfa Sayısı:</w:t>
          </w:r>
        </w:p>
      </w:tc>
      <w:tc>
        <w:tcPr>
          <w:tcW w:w="1825" w:type="dxa"/>
          <w:tcBorders>
            <w:top w:val="single" w:sz="6" w:space="0" w:color="000000"/>
            <w:left w:val="single" w:sz="6" w:space="0" w:color="000000"/>
            <w:bottom w:val="single" w:sz="4" w:space="0" w:color="auto"/>
            <w:right w:val="single" w:sz="4" w:space="0" w:color="auto"/>
          </w:tcBorders>
          <w:vAlign w:val="center"/>
        </w:tcPr>
        <w:p w14:paraId="5AFF76BD" w14:textId="4C88A938" w:rsidR="005D0DC7" w:rsidRPr="00AB25C9" w:rsidRDefault="00AB25C9" w:rsidP="00AB25C9">
          <w:pPr>
            <w:rPr>
              <w:rFonts w:eastAsia="Calibri"/>
              <w:sz w:val="20"/>
              <w:szCs w:val="20"/>
            </w:rPr>
          </w:pPr>
          <w:r w:rsidRPr="00AB25C9">
            <w:rPr>
              <w:rFonts w:eastAsia="Calibri"/>
              <w:sz w:val="20"/>
              <w:szCs w:val="20"/>
            </w:rPr>
            <w:t xml:space="preserve"> 2</w:t>
          </w:r>
        </w:p>
      </w:tc>
    </w:tr>
  </w:tbl>
  <w:p w14:paraId="3522FDB0" w14:textId="77777777" w:rsidR="005D0DC7" w:rsidRDefault="005D0DC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5406"/>
    <w:multiLevelType w:val="hybridMultilevel"/>
    <w:tmpl w:val="6D62AF72"/>
    <w:lvl w:ilvl="0" w:tplc="5C9C362A">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5FC"/>
    <w:rsid w:val="000A08A0"/>
    <w:rsid w:val="00114836"/>
    <w:rsid w:val="001F329A"/>
    <w:rsid w:val="00432D2A"/>
    <w:rsid w:val="005C1C0A"/>
    <w:rsid w:val="005D0DC7"/>
    <w:rsid w:val="009431CD"/>
    <w:rsid w:val="00AB25C9"/>
    <w:rsid w:val="00B02917"/>
    <w:rsid w:val="00B36429"/>
    <w:rsid w:val="00D86D7B"/>
    <w:rsid w:val="00ED05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4E096"/>
  <w15:docId w15:val="{A06EEF25-4C21-434B-A9CB-0DBA3A7D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tr-TR" w:eastAsia="tr-TR" w:bidi="tr-TR"/>
    </w:rPr>
  </w:style>
  <w:style w:type="paragraph" w:styleId="Balk1">
    <w:name w:val="heading 1"/>
    <w:basedOn w:val="Normal"/>
    <w:uiPriority w:val="9"/>
    <w:qFormat/>
    <w:pPr>
      <w:ind w:left="265" w:right="265"/>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right="113" w:firstLine="707"/>
      <w:jc w:val="both"/>
    </w:pPr>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line="223" w:lineRule="exact"/>
      <w:ind w:left="108"/>
    </w:pPr>
    <w:rPr>
      <w:rFonts w:ascii="Arial" w:eastAsia="Arial" w:hAnsi="Arial" w:cs="Arial"/>
    </w:rPr>
  </w:style>
  <w:style w:type="paragraph" w:styleId="stBilgi">
    <w:name w:val="header"/>
    <w:basedOn w:val="Normal"/>
    <w:link w:val="stBilgiChar"/>
    <w:uiPriority w:val="99"/>
    <w:unhideWhenUsed/>
    <w:rsid w:val="005D0DC7"/>
    <w:pPr>
      <w:tabs>
        <w:tab w:val="center" w:pos="4536"/>
        <w:tab w:val="right" w:pos="9072"/>
      </w:tabs>
    </w:pPr>
  </w:style>
  <w:style w:type="character" w:customStyle="1" w:styleId="stBilgiChar">
    <w:name w:val="Üst Bilgi Char"/>
    <w:basedOn w:val="VarsaylanParagrafYazTipi"/>
    <w:link w:val="stBilgi"/>
    <w:uiPriority w:val="99"/>
    <w:rsid w:val="005D0DC7"/>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5D0DC7"/>
    <w:pPr>
      <w:tabs>
        <w:tab w:val="center" w:pos="4536"/>
        <w:tab w:val="right" w:pos="9072"/>
      </w:tabs>
    </w:pPr>
  </w:style>
  <w:style w:type="character" w:customStyle="1" w:styleId="AltBilgiChar">
    <w:name w:val="Alt Bilgi Char"/>
    <w:basedOn w:val="VarsaylanParagrafYazTipi"/>
    <w:link w:val="AltBilgi"/>
    <w:uiPriority w:val="99"/>
    <w:rsid w:val="005D0DC7"/>
    <w:rPr>
      <w:rFonts w:ascii="Times New Roman" w:eastAsia="Times New Roman" w:hAnsi="Times New Roman" w:cs="Times New Roman"/>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910</Words>
  <Characters>5191</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nku</dc:creator>
  <cp:lastModifiedBy>Windows Kullanıcısı</cp:lastModifiedBy>
  <cp:revision>7</cp:revision>
  <dcterms:created xsi:type="dcterms:W3CDTF">2024-10-07T06:20:00Z</dcterms:created>
  <dcterms:modified xsi:type="dcterms:W3CDTF">2024-11-13T11:10:00Z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2012-08-22T00:00:00Z</vt:filetime>
  </property>
  <property fmtid="{D5CDD505-2E9C-101B-9397-08002B2CF9AE}" pid="3" name="Creator">
    <vt:lpwstr>Microsoft® Office Word 2007</vt:lpwstr>
  </property>
  <property fmtid="{D5CDD505-2E9C-101B-9397-08002B2CF9AE}" pid="4" name="LastSaved">
    <vt:filetime>2021-11-10T00:00:00Z</vt:filetime>
  </property>
</Properties>
</file>