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0D4F" w14:textId="1B740713" w:rsidR="000E2D90" w:rsidRDefault="000E2D90">
      <w:pPr>
        <w:pStyle w:val="Balk1"/>
        <w:ind w:left="2385" w:right="723" w:hanging="1086"/>
        <w:rPr>
          <w:color w:val="1C283C"/>
        </w:rPr>
      </w:pPr>
    </w:p>
    <w:p w14:paraId="4D401B80" w14:textId="2F6BCECC" w:rsidR="000E2D90" w:rsidRDefault="000E2D90">
      <w:pPr>
        <w:pStyle w:val="Balk1"/>
        <w:ind w:left="2385" w:right="723" w:hanging="1086"/>
        <w:rPr>
          <w:color w:val="1C283C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880"/>
        <w:gridCol w:w="2010"/>
        <w:gridCol w:w="1825"/>
      </w:tblGrid>
      <w:tr w:rsidR="000E2D90" w:rsidRPr="004C4A7F" w14:paraId="395A4FB7" w14:textId="77777777" w:rsidTr="00C00B4A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109B3A5" w14:textId="049759B5" w:rsidR="000E2D90" w:rsidRPr="004C4A7F" w:rsidRDefault="00C00B4A" w:rsidP="00AA027B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3D94CDF0" wp14:editId="22D633A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-24130</wp:posOffset>
                  </wp:positionV>
                  <wp:extent cx="1047750" cy="8763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3DB130" w14:textId="1717BC16" w:rsidR="000E2D90" w:rsidRPr="004C4A7F" w:rsidRDefault="000E2D90" w:rsidP="00AA027B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C335D0" w14:textId="49833474" w:rsidR="000E2D90" w:rsidRPr="004C4A7F" w:rsidRDefault="000E2D90" w:rsidP="00F043BB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DIŞ İLİŞKİLER UYGULAMA VE ARAŞTIRMA MERKEZİ YÖNETMELİĞİ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28F5" w14:textId="77777777" w:rsidR="000E2D90" w:rsidRPr="00F043BB" w:rsidRDefault="000E2D90" w:rsidP="00AA027B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D401EB" w14:textId="392D97A6" w:rsidR="000E2D90" w:rsidRPr="00F043BB" w:rsidRDefault="00F043BB" w:rsidP="00F043BB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0E2D90" w:rsidRPr="00F043BB">
              <w:rPr>
                <w:rFonts w:eastAsia="Calibri"/>
                <w:sz w:val="20"/>
                <w:szCs w:val="20"/>
                <w:lang w:eastAsia="tr-TR" w:bidi="tr-TR"/>
              </w:rPr>
              <w:t>EYS-</w:t>
            </w:r>
            <w:r w:rsidRPr="00F043BB">
              <w:rPr>
                <w:rFonts w:eastAsia="Calibri"/>
                <w:sz w:val="20"/>
                <w:szCs w:val="20"/>
                <w:lang w:eastAsia="tr-TR" w:bidi="tr-TR"/>
              </w:rPr>
              <w:t>YNT</w:t>
            </w:r>
            <w:r w:rsidR="000E2D90" w:rsidRPr="00F043BB">
              <w:rPr>
                <w:rFonts w:eastAsia="Calibri"/>
                <w:sz w:val="20"/>
                <w:szCs w:val="20"/>
                <w:lang w:eastAsia="tr-TR" w:bidi="tr-TR"/>
              </w:rPr>
              <w:t>-0</w:t>
            </w:r>
            <w:r w:rsidRPr="00F043BB">
              <w:rPr>
                <w:rFonts w:eastAsia="Calibri"/>
                <w:sz w:val="20"/>
                <w:szCs w:val="20"/>
                <w:lang w:eastAsia="tr-TR" w:bidi="tr-TR"/>
              </w:rPr>
              <w:t>01</w:t>
            </w:r>
          </w:p>
        </w:tc>
      </w:tr>
      <w:tr w:rsidR="000E2D90" w:rsidRPr="004C4A7F" w14:paraId="63234613" w14:textId="77777777" w:rsidTr="00C00B4A">
        <w:trPr>
          <w:trHeight w:val="256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8B0F3EC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8A99C6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1021" w14:textId="77777777" w:rsidR="000E2D90" w:rsidRPr="00F043BB" w:rsidRDefault="000E2D90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899B9A" w14:textId="251F942C" w:rsidR="000E2D90" w:rsidRPr="00F043BB" w:rsidRDefault="00F043BB" w:rsidP="00F043BB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0E2D90" w:rsidRPr="00F043BB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0E2D90" w:rsidRPr="004C4A7F" w14:paraId="70C53F8F" w14:textId="77777777" w:rsidTr="00C00B4A">
        <w:trPr>
          <w:trHeight w:val="246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B442CA7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71F621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C4CAB" w14:textId="77777777" w:rsidR="000E2D90" w:rsidRPr="00F043BB" w:rsidRDefault="000E2D90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161F8D" w14:textId="47841FCB" w:rsidR="000E2D90" w:rsidRPr="00F043BB" w:rsidRDefault="00F043BB" w:rsidP="00F043BB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0E2D90" w:rsidRPr="00F043BB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0E2D90" w:rsidRPr="004C4A7F" w14:paraId="0B00045B" w14:textId="77777777" w:rsidTr="00C00B4A">
        <w:trPr>
          <w:trHeight w:val="2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A243AE6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F45D66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FF5B5" w14:textId="77777777" w:rsidR="000E2D90" w:rsidRPr="00F043BB" w:rsidRDefault="000E2D90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7210EC" w14:textId="32C49759" w:rsidR="000E2D90" w:rsidRPr="00F043BB" w:rsidRDefault="00F043BB" w:rsidP="00F043BB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0E2D90" w:rsidRPr="00F043BB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0E2D90" w:rsidRPr="004C4A7F" w14:paraId="7F716DF8" w14:textId="77777777" w:rsidTr="00F043BB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3C9A3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4B3CFD" w14:textId="77777777" w:rsidR="000E2D90" w:rsidRPr="004C4A7F" w:rsidRDefault="000E2D90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4275EC" w14:textId="2D41E6ED" w:rsidR="000E2D90" w:rsidRPr="00F043BB" w:rsidRDefault="000E2D90" w:rsidP="00F043BB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 w:rsidR="00F043BB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 w:rsidR="00F043B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28EFD" w14:textId="3AEEFAB0" w:rsidR="000E2D90" w:rsidRPr="00F043BB" w:rsidRDefault="00F043BB" w:rsidP="00AA027B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43BB">
              <w:rPr>
                <w:rFonts w:eastAsia="Calibri"/>
                <w:sz w:val="20"/>
                <w:szCs w:val="20"/>
                <w:lang w:eastAsia="tr-TR" w:bidi="tr-TR"/>
              </w:rPr>
              <w:t>3</w:t>
            </w:r>
          </w:p>
          <w:p w14:paraId="1A2458DA" w14:textId="77777777" w:rsidR="000E2D90" w:rsidRPr="00F043BB" w:rsidRDefault="000E2D90" w:rsidP="00AA027B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7C11B539" w14:textId="77777777" w:rsidR="00DB3C66" w:rsidRDefault="00DB3C66">
      <w:pPr>
        <w:pStyle w:val="GvdeMetni"/>
        <w:spacing w:before="2"/>
        <w:ind w:left="0" w:firstLine="0"/>
        <w:jc w:val="left"/>
        <w:rPr>
          <w:b/>
          <w:sz w:val="16"/>
        </w:rPr>
      </w:pPr>
    </w:p>
    <w:p w14:paraId="4E62483D" w14:textId="77777777" w:rsidR="00DB3C66" w:rsidRDefault="00C00B4A">
      <w:pPr>
        <w:spacing w:before="90"/>
        <w:ind w:left="664" w:right="100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2B7A21CE" w14:textId="77777777" w:rsidR="00DB3C66" w:rsidRDefault="00C00B4A">
      <w:pPr>
        <w:ind w:left="664" w:right="105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076FA6EB" w14:textId="77777777" w:rsidR="00DB3C66" w:rsidRDefault="00C00B4A" w:rsidP="00C00B4A">
      <w:pPr>
        <w:ind w:left="682" w:right="-329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616338FF" w14:textId="070D206E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 w:rsidR="00F043BB">
        <w:rPr>
          <w:color w:val="1C283C"/>
        </w:rPr>
        <w:t>Tekirdağ</w:t>
      </w:r>
      <w:proofErr w:type="spellEnd"/>
      <w:r w:rsidR="00F043BB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İlişkiler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368E6E3F" w14:textId="77777777" w:rsidR="00DB3C66" w:rsidRDefault="00C00B4A" w:rsidP="00C00B4A">
      <w:pPr>
        <w:pStyle w:val="Balk1"/>
        <w:spacing w:line="274" w:lineRule="exact"/>
        <w:ind w:right="-329"/>
      </w:pPr>
      <w:proofErr w:type="spellStart"/>
      <w:r>
        <w:rPr>
          <w:color w:val="1C283C"/>
        </w:rPr>
        <w:t>Kapsam</w:t>
      </w:r>
      <w:proofErr w:type="spellEnd"/>
    </w:p>
    <w:p w14:paraId="1128380A" w14:textId="032446D0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</w:t>
      </w:r>
      <w:r>
        <w:rPr>
          <w:color w:val="1C283C"/>
        </w:rPr>
        <w:t>melik</w:t>
      </w:r>
      <w:proofErr w:type="spellEnd"/>
      <w:r>
        <w:rPr>
          <w:color w:val="1C283C"/>
        </w:rPr>
        <w:t xml:space="preserve">; </w:t>
      </w:r>
      <w:proofErr w:type="spellStart"/>
      <w:r w:rsidR="00F043BB">
        <w:rPr>
          <w:color w:val="1C283C"/>
        </w:rPr>
        <w:t>Tekirdağ</w:t>
      </w:r>
      <w:proofErr w:type="spellEnd"/>
      <w:r w:rsidR="00F043BB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İlişkiler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4EFA803E" w14:textId="77777777" w:rsidR="00DB3C66" w:rsidRDefault="00C00B4A" w:rsidP="00C00B4A">
      <w:pPr>
        <w:pStyle w:val="Balk1"/>
        <w:spacing w:before="3" w:line="274" w:lineRule="exact"/>
        <w:ind w:right="-329"/>
      </w:pPr>
      <w:proofErr w:type="spellStart"/>
      <w:r>
        <w:rPr>
          <w:color w:val="1C283C"/>
        </w:rPr>
        <w:t>Dayanak</w:t>
      </w:r>
      <w:proofErr w:type="spellEnd"/>
    </w:p>
    <w:p w14:paraId="7B16B598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</w:t>
      </w:r>
      <w:r>
        <w:rPr>
          <w:color w:val="1C283C"/>
        </w:rPr>
        <w:t>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314177B7" w14:textId="77777777" w:rsidR="00DB3C66" w:rsidRDefault="00C00B4A" w:rsidP="00C00B4A">
      <w:pPr>
        <w:pStyle w:val="Balk1"/>
        <w:spacing w:before="3" w:line="274" w:lineRule="exact"/>
        <w:ind w:right="-329"/>
      </w:pPr>
      <w:proofErr w:type="spellStart"/>
      <w:r>
        <w:rPr>
          <w:color w:val="1C283C"/>
        </w:rPr>
        <w:t>Tanımlar</w:t>
      </w:r>
      <w:proofErr w:type="spellEnd"/>
    </w:p>
    <w:p w14:paraId="379A65BF" w14:textId="77777777" w:rsidR="00DB3C66" w:rsidRDefault="00C00B4A" w:rsidP="00C00B4A">
      <w:pPr>
        <w:spacing w:line="274" w:lineRule="exact"/>
        <w:ind w:left="682" w:right="-329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393E280E" w14:textId="71F0B987" w:rsidR="00DB3C66" w:rsidRDefault="00C00B4A" w:rsidP="00C00B4A">
      <w:pPr>
        <w:pStyle w:val="ListeParagraf"/>
        <w:numPr>
          <w:ilvl w:val="0"/>
          <w:numId w:val="7"/>
        </w:numPr>
        <w:tabs>
          <w:tab w:val="left" w:pos="929"/>
        </w:tabs>
        <w:ind w:right="-329" w:hanging="247"/>
        <w:rPr>
          <w:sz w:val="24"/>
        </w:rPr>
      </w:pPr>
      <w:r>
        <w:rPr>
          <w:color w:val="1C283C"/>
          <w:sz w:val="24"/>
        </w:rPr>
        <w:t xml:space="preserve">Merkez: </w:t>
      </w:r>
      <w:proofErr w:type="spellStart"/>
      <w:r w:rsidR="00F043BB">
        <w:rPr>
          <w:color w:val="1C283C"/>
          <w:sz w:val="24"/>
        </w:rPr>
        <w:t>Tekirdağ</w:t>
      </w:r>
      <w:proofErr w:type="spellEnd"/>
      <w:r w:rsidR="00F043BB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İlişkiler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pacing w:val="-24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2093687F" w14:textId="77777777" w:rsidR="00DB3C66" w:rsidRDefault="00C00B4A" w:rsidP="00C00B4A">
      <w:pPr>
        <w:pStyle w:val="ListeParagraf"/>
        <w:numPr>
          <w:ilvl w:val="0"/>
          <w:numId w:val="7"/>
        </w:numPr>
        <w:tabs>
          <w:tab w:val="left" w:pos="943"/>
        </w:tabs>
        <w:ind w:left="942" w:right="-329" w:hanging="261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4E6B1BFD" w14:textId="7FF85BC7" w:rsidR="00C00B4A" w:rsidRPr="00C00B4A" w:rsidRDefault="00C00B4A" w:rsidP="00C00B4A">
      <w:pPr>
        <w:pStyle w:val="ListeParagraf"/>
        <w:numPr>
          <w:ilvl w:val="0"/>
          <w:numId w:val="7"/>
        </w:numPr>
        <w:tabs>
          <w:tab w:val="left" w:pos="929"/>
          <w:tab w:val="left" w:pos="6096"/>
        </w:tabs>
        <w:ind w:left="682" w:right="-329" w:firstLine="0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 xml:space="preserve">, </w:t>
      </w:r>
    </w:p>
    <w:p w14:paraId="521C8795" w14:textId="10E778FB" w:rsidR="00DB3C66" w:rsidRDefault="00C00B4A" w:rsidP="00C00B4A">
      <w:pPr>
        <w:pStyle w:val="ListeParagraf"/>
        <w:tabs>
          <w:tab w:val="left" w:pos="929"/>
        </w:tabs>
        <w:ind w:left="682" w:right="-329" w:firstLine="0"/>
        <w:jc w:val="left"/>
        <w:rPr>
          <w:sz w:val="24"/>
        </w:rPr>
      </w:pPr>
      <w:r>
        <w:rPr>
          <w:color w:val="1C283C"/>
          <w:sz w:val="24"/>
        </w:rPr>
        <w:t xml:space="preserve">ç)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2B8A48DB" w14:textId="77777777" w:rsidR="00DB3C66" w:rsidRDefault="00C00B4A" w:rsidP="00C00B4A">
      <w:pPr>
        <w:pStyle w:val="ListeParagraf"/>
        <w:numPr>
          <w:ilvl w:val="0"/>
          <w:numId w:val="7"/>
        </w:numPr>
        <w:tabs>
          <w:tab w:val="left" w:pos="943"/>
        </w:tabs>
        <w:ind w:left="682" w:right="-329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,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7319B859" w14:textId="77777777" w:rsidR="00DB3C66" w:rsidRDefault="00C00B4A" w:rsidP="00C00B4A">
      <w:pPr>
        <w:pStyle w:val="Balk1"/>
        <w:spacing w:before="5"/>
        <w:ind w:left="664" w:right="-329"/>
        <w:jc w:val="center"/>
      </w:pPr>
      <w:r>
        <w:rPr>
          <w:color w:val="1C283C"/>
        </w:rPr>
        <w:t>İKİNCİ B</w:t>
      </w:r>
      <w:r>
        <w:rPr>
          <w:color w:val="1C283C"/>
        </w:rPr>
        <w:t>ÖLÜM</w:t>
      </w:r>
    </w:p>
    <w:p w14:paraId="3CC2106A" w14:textId="77777777" w:rsidR="00DB3C66" w:rsidRDefault="00C00B4A" w:rsidP="00C00B4A">
      <w:pPr>
        <w:ind w:left="664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7BFC8381" w14:textId="77777777" w:rsidR="00DB3C66" w:rsidRDefault="00C00B4A" w:rsidP="00C00B4A">
      <w:pPr>
        <w:ind w:left="682" w:right="-329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</w:p>
    <w:p w14:paraId="214DD344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uluslararası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platformlarda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tanıtımını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kültürel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uluslararası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öğrenciler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entelekt</w:t>
      </w:r>
      <w:r>
        <w:rPr>
          <w:color w:val="1C283C"/>
        </w:rPr>
        <w:t>üel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kültürel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kişisel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deneyimlerini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zenginleştirmek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geliştirmektir</w:t>
      </w:r>
      <w:proofErr w:type="spellEnd"/>
      <w:r>
        <w:rPr>
          <w:color w:val="1C283C"/>
        </w:rPr>
        <w:t>.</w:t>
      </w:r>
    </w:p>
    <w:p w14:paraId="41AEA4A8" w14:textId="77777777" w:rsidR="00DB3C66" w:rsidRDefault="00C00B4A" w:rsidP="00C00B4A">
      <w:pPr>
        <w:pStyle w:val="Balk1"/>
        <w:spacing w:line="274" w:lineRule="exact"/>
        <w:ind w:right="-329"/>
        <w:jc w:val="both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63EF8969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Merkez, </w:t>
      </w:r>
      <w:proofErr w:type="spellStart"/>
      <w:r>
        <w:rPr>
          <w:color w:val="1C283C"/>
        </w:rPr>
        <w:t>amaçlarını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bulunur</w:t>
      </w:r>
      <w:proofErr w:type="spellEnd"/>
      <w:r>
        <w:rPr>
          <w:color w:val="1C283C"/>
        </w:rPr>
        <w:t>:</w:t>
      </w:r>
    </w:p>
    <w:p w14:paraId="77776CD0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alanındaki</w:t>
      </w:r>
      <w:proofErr w:type="spellEnd"/>
      <w:r>
        <w:rPr>
          <w:color w:val="1C283C"/>
          <w:sz w:val="24"/>
        </w:rPr>
        <w:t xml:space="preserve"> yeni </w:t>
      </w:r>
      <w:proofErr w:type="spellStart"/>
      <w:r>
        <w:rPr>
          <w:color w:val="1C283C"/>
          <w:sz w:val="24"/>
        </w:rPr>
        <w:t>gelişmeleri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araştırmak</w:t>
      </w:r>
      <w:proofErr w:type="spellEnd"/>
      <w:r>
        <w:rPr>
          <w:color w:val="1C283C"/>
          <w:sz w:val="24"/>
        </w:rPr>
        <w:t>.</w:t>
      </w:r>
    </w:p>
    <w:p w14:paraId="3B966871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90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Benzer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nitelikteki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14317AB7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98"/>
        </w:tabs>
        <w:ind w:left="116" w:right="-329" w:firstLine="566"/>
        <w:jc w:val="right"/>
        <w:rPr>
          <w:sz w:val="24"/>
        </w:rPr>
      </w:pP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sektörce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49"/>
          <w:sz w:val="24"/>
        </w:rPr>
        <w:t xml:space="preserve"> </w:t>
      </w:r>
      <w:proofErr w:type="spellStart"/>
      <w:r>
        <w:rPr>
          <w:color w:val="1C283C"/>
          <w:sz w:val="24"/>
        </w:rPr>
        <w:t>incelemeler</w:t>
      </w:r>
      <w:proofErr w:type="spellEnd"/>
      <w:r>
        <w:rPr>
          <w:color w:val="1C283C"/>
          <w:spacing w:val="1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</w:t>
      </w:r>
      <w:r>
        <w:rPr>
          <w:color w:val="1C283C"/>
          <w:sz w:val="24"/>
        </w:rPr>
        <w:t>rda</w:t>
      </w:r>
      <w:proofErr w:type="spellEnd"/>
      <w:r>
        <w:rPr>
          <w:color w:val="1C283C"/>
          <w:spacing w:val="-21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. ç) </w:t>
      </w:r>
      <w:proofErr w:type="spellStart"/>
      <w:r>
        <w:rPr>
          <w:color w:val="1C283C"/>
          <w:sz w:val="24"/>
        </w:rPr>
        <w:t>Avrupa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Gençlik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Başkanlığının</w:t>
      </w:r>
      <w:proofErr w:type="spellEnd"/>
      <w:r>
        <w:rPr>
          <w:color w:val="1C283C"/>
          <w:spacing w:val="19"/>
          <w:sz w:val="24"/>
        </w:rPr>
        <w:t xml:space="preserve"> </w:t>
      </w:r>
      <w:proofErr w:type="spellStart"/>
      <w:r>
        <w:rPr>
          <w:color w:val="1C283C"/>
          <w:sz w:val="24"/>
        </w:rPr>
        <w:t>yürüttüğü</w:t>
      </w:r>
      <w:proofErr w:type="spellEnd"/>
    </w:p>
    <w:p w14:paraId="493D72C8" w14:textId="77777777" w:rsidR="00DB3C66" w:rsidRDefault="00C00B4A" w:rsidP="00C00B4A">
      <w:pPr>
        <w:pStyle w:val="GvdeMetni"/>
        <w:ind w:right="-329" w:firstLine="0"/>
      </w:pPr>
      <w:r>
        <w:rPr>
          <w:color w:val="1C283C"/>
        </w:rPr>
        <w:t xml:space="preserve">program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adına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yürütülmesinden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derecede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>.</w:t>
      </w:r>
    </w:p>
    <w:p w14:paraId="55693441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1007"/>
        </w:tabs>
        <w:ind w:left="116" w:right="-329" w:firstLine="566"/>
        <w:jc w:val="both"/>
        <w:rPr>
          <w:sz w:val="24"/>
        </w:rPr>
      </w:pPr>
      <w:r>
        <w:rPr>
          <w:color w:val="1C283C"/>
          <w:sz w:val="24"/>
        </w:rPr>
        <w:t xml:space="preserve">Erasmus +, </w:t>
      </w:r>
      <w:proofErr w:type="spellStart"/>
      <w:r>
        <w:rPr>
          <w:color w:val="1C283C"/>
          <w:sz w:val="24"/>
        </w:rPr>
        <w:t>Avrupa</w:t>
      </w:r>
      <w:proofErr w:type="spellEnd"/>
      <w:r>
        <w:rPr>
          <w:color w:val="1C283C"/>
          <w:sz w:val="24"/>
        </w:rPr>
        <w:t xml:space="preserve"> 7. </w:t>
      </w:r>
      <w:proofErr w:type="spellStart"/>
      <w:r>
        <w:rPr>
          <w:color w:val="1C283C"/>
          <w:sz w:val="24"/>
        </w:rPr>
        <w:t>Çerçeve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Mevlana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Farabi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</w:t>
      </w:r>
      <w:r>
        <w:rPr>
          <w:color w:val="1C283C"/>
          <w:sz w:val="24"/>
        </w:rPr>
        <w:t>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genelinde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40067409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95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Çerçeve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kapsamında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maksimum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düzeyde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elemanlarının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faydalanmasını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529E4F9D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64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Kültürel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ülkeler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</w:t>
      </w:r>
      <w:r>
        <w:rPr>
          <w:color w:val="1C283C"/>
          <w:sz w:val="24"/>
        </w:rPr>
        <w:t>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suretiyle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iki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ülkenin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halklarının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yaşam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daha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anlamalarını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1E612BC7" w14:textId="77777777" w:rsidR="00DB3C66" w:rsidRDefault="00DB3C66" w:rsidP="00C00B4A">
      <w:pPr>
        <w:ind w:right="-329"/>
        <w:jc w:val="both"/>
        <w:rPr>
          <w:sz w:val="24"/>
        </w:rPr>
        <w:sectPr w:rsidR="00DB3C6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0D940CC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52"/>
        </w:tabs>
        <w:spacing w:before="70"/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öğrencilerin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temel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mesleki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düzeylerde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beceri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yeterliliklerinin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artır</w:t>
      </w:r>
      <w:r>
        <w:rPr>
          <w:color w:val="1C283C"/>
          <w:sz w:val="24"/>
        </w:rPr>
        <w:t>ılmasını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79977ADE" w14:textId="77777777" w:rsidR="00DB3C66" w:rsidRDefault="00C00B4A" w:rsidP="00C00B4A">
      <w:pPr>
        <w:pStyle w:val="GvdeMetni"/>
        <w:ind w:right="-329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Avrupa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yararlanacak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oryantasyon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uygulamak</w:t>
      </w:r>
      <w:proofErr w:type="spellEnd"/>
      <w:r>
        <w:rPr>
          <w:color w:val="1C283C"/>
        </w:rPr>
        <w:t>.</w:t>
      </w:r>
    </w:p>
    <w:p w14:paraId="43518FA8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45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Erasmus+öğrenci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değişiminden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yararlanacak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başvuru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duyuruları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yabancı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sınavı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mülakat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gidecek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seçimini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2B01075C" w14:textId="77777777" w:rsidR="00DB3C66" w:rsidRDefault="00C00B4A" w:rsidP="00C00B4A">
      <w:pPr>
        <w:pStyle w:val="GvdeMetni"/>
        <w:ind w:right="-329"/>
      </w:pPr>
      <w:r>
        <w:rPr>
          <w:color w:val="1C283C"/>
        </w:rPr>
        <w:t xml:space="preserve">ı) Yurt </w:t>
      </w:r>
      <w:proofErr w:type="spellStart"/>
      <w:r>
        <w:rPr>
          <w:color w:val="1C283C"/>
        </w:rPr>
        <w:t>dışından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organizasyonunu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</w:t>
      </w:r>
      <w:r>
        <w:rPr>
          <w:color w:val="1C283C"/>
        </w:rPr>
        <w:t>ak</w:t>
      </w:r>
      <w:proofErr w:type="spellEnd"/>
      <w:r>
        <w:rPr>
          <w:color w:val="1C283C"/>
        </w:rPr>
        <w:t>.</w:t>
      </w:r>
    </w:p>
    <w:p w14:paraId="61841A67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1002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Avrupa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gençlik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kapsamında</w:t>
      </w:r>
      <w:proofErr w:type="spellEnd"/>
      <w:r>
        <w:rPr>
          <w:color w:val="1C283C"/>
          <w:sz w:val="24"/>
        </w:rPr>
        <w:t xml:space="preserve"> yeni </w:t>
      </w:r>
      <w:proofErr w:type="spellStart"/>
      <w:r>
        <w:rPr>
          <w:color w:val="1C283C"/>
          <w:sz w:val="24"/>
        </w:rPr>
        <w:t>programların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tanıtılması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hazırlanması</w:t>
      </w:r>
      <w:proofErr w:type="spellEnd"/>
      <w:r>
        <w:rPr>
          <w:color w:val="1C283C"/>
          <w:sz w:val="24"/>
        </w:rPr>
        <w:t xml:space="preserve">, yeni </w:t>
      </w:r>
      <w:proofErr w:type="spellStart"/>
      <w:r>
        <w:rPr>
          <w:color w:val="1C283C"/>
          <w:sz w:val="24"/>
        </w:rPr>
        <w:t>gelişmelerin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takip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bilgilendirme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seminerler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23F5D449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78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Programlara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şartları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başvuru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</w:t>
      </w:r>
      <w:r>
        <w:rPr>
          <w:color w:val="1C283C"/>
          <w:sz w:val="24"/>
        </w:rPr>
        <w:t>çilebilirlik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sağlanması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başvuru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desteklenmesi</w:t>
      </w:r>
      <w:proofErr w:type="spellEnd"/>
      <w:r>
        <w:rPr>
          <w:color w:val="1C283C"/>
          <w:sz w:val="24"/>
        </w:rPr>
        <w:t xml:space="preserve">, organize </w:t>
      </w:r>
      <w:proofErr w:type="spellStart"/>
      <w:r>
        <w:rPr>
          <w:color w:val="1C283C"/>
          <w:sz w:val="24"/>
        </w:rPr>
        <w:t>edilmesi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kayıt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konularını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28DDB975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1005"/>
        </w:tabs>
        <w:spacing w:before="1"/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değişim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yararlanacak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sözleşmeleri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istemek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değerlendirmek</w:t>
      </w:r>
      <w:proofErr w:type="spellEnd"/>
      <w:r>
        <w:rPr>
          <w:color w:val="1C283C"/>
          <w:sz w:val="24"/>
        </w:rPr>
        <w:t>.</w:t>
      </w:r>
    </w:p>
    <w:p w14:paraId="5D20752D" w14:textId="77777777" w:rsidR="00DB3C66" w:rsidRDefault="00C00B4A" w:rsidP="00C00B4A">
      <w:pPr>
        <w:pStyle w:val="ListeParagraf"/>
        <w:numPr>
          <w:ilvl w:val="0"/>
          <w:numId w:val="6"/>
        </w:numPr>
        <w:tabs>
          <w:tab w:val="left" w:pos="959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Ajans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tahsis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kaynakların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muhasebesi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izlenmesi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sistemi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işletmek</w:t>
      </w:r>
      <w:proofErr w:type="spellEnd"/>
      <w:r>
        <w:rPr>
          <w:color w:val="1C283C"/>
          <w:sz w:val="24"/>
        </w:rPr>
        <w:t>.</w:t>
      </w:r>
    </w:p>
    <w:p w14:paraId="413C179D" w14:textId="77777777" w:rsidR="00DB3C66" w:rsidRDefault="00C00B4A" w:rsidP="00C00B4A">
      <w:pPr>
        <w:pStyle w:val="Balk1"/>
        <w:spacing w:before="4"/>
        <w:ind w:left="664" w:right="-329"/>
        <w:jc w:val="center"/>
      </w:pPr>
      <w:r>
        <w:rPr>
          <w:color w:val="1C283C"/>
        </w:rPr>
        <w:t>ÜÇÜNCÜ BÖLÜM</w:t>
      </w:r>
    </w:p>
    <w:p w14:paraId="3962BAD3" w14:textId="77777777" w:rsidR="00DB3C66" w:rsidRDefault="00C00B4A" w:rsidP="00C00B4A">
      <w:pPr>
        <w:ind w:left="682" w:right="-329" w:firstLine="2078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1BA613DC" w14:textId="77777777" w:rsidR="00DB3C66" w:rsidRDefault="00C00B4A" w:rsidP="00C00B4A">
      <w:pPr>
        <w:pStyle w:val="GvdeMetni"/>
        <w:spacing w:line="271" w:lineRule="exact"/>
        <w:ind w:left="682" w:right="-329" w:firstLine="0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4D54A547" w14:textId="77777777" w:rsidR="00DB3C66" w:rsidRDefault="00C00B4A" w:rsidP="00C00B4A">
      <w:pPr>
        <w:pStyle w:val="ListeParagraf"/>
        <w:numPr>
          <w:ilvl w:val="0"/>
          <w:numId w:val="5"/>
        </w:numPr>
        <w:tabs>
          <w:tab w:val="left" w:pos="929"/>
        </w:tabs>
        <w:spacing w:before="1"/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>.</w:t>
      </w:r>
    </w:p>
    <w:p w14:paraId="43558423" w14:textId="77777777" w:rsidR="00DB3C66" w:rsidRDefault="00C00B4A" w:rsidP="00C00B4A">
      <w:pPr>
        <w:pStyle w:val="ListeParagraf"/>
        <w:numPr>
          <w:ilvl w:val="0"/>
          <w:numId w:val="5"/>
        </w:numPr>
        <w:tabs>
          <w:tab w:val="left" w:pos="943"/>
        </w:tabs>
        <w:ind w:left="942" w:right="-329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42BB0968" w14:textId="77777777" w:rsidR="00DB3C66" w:rsidRDefault="00C00B4A" w:rsidP="00C00B4A">
      <w:pPr>
        <w:pStyle w:val="Balk1"/>
        <w:spacing w:before="5" w:line="274" w:lineRule="exact"/>
        <w:ind w:right="-329"/>
        <w:jc w:val="both"/>
      </w:pP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1C64BAB1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dolmadan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r>
        <w:rPr>
          <w:color w:val="1C283C"/>
        </w:rPr>
        <w:t>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tamamlamak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yöntemle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yapılır</w:t>
      </w:r>
      <w:proofErr w:type="spellEnd"/>
      <w:r>
        <w:rPr>
          <w:color w:val="1C283C"/>
        </w:rPr>
        <w:t>.</w:t>
      </w:r>
    </w:p>
    <w:p w14:paraId="5F5ADEF5" w14:textId="77777777" w:rsidR="00DB3C66" w:rsidRDefault="00C00B4A" w:rsidP="00C00B4A">
      <w:pPr>
        <w:pStyle w:val="ListeParagraf"/>
        <w:numPr>
          <w:ilvl w:val="0"/>
          <w:numId w:val="4"/>
        </w:numPr>
        <w:tabs>
          <w:tab w:val="left" w:pos="1062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kişiyi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üç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bulunur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dolmadan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ayrıl</w:t>
      </w:r>
      <w:r>
        <w:rPr>
          <w:color w:val="1C283C"/>
          <w:sz w:val="24"/>
        </w:rPr>
        <w:t>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yöntemle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erince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yardımcılarının</w:t>
      </w:r>
      <w:proofErr w:type="spellEnd"/>
      <w:r>
        <w:rPr>
          <w:color w:val="1C283C"/>
          <w:sz w:val="24"/>
        </w:rPr>
        <w:t xml:space="preserve"> da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kendiliğinden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erer</w:t>
      </w:r>
      <w:proofErr w:type="spellEnd"/>
      <w:r>
        <w:rPr>
          <w:color w:val="1C283C"/>
          <w:sz w:val="24"/>
        </w:rPr>
        <w:t>.</w:t>
      </w:r>
    </w:p>
    <w:p w14:paraId="3C2841DC" w14:textId="77777777" w:rsidR="00DB3C66" w:rsidRDefault="00C00B4A" w:rsidP="00C00B4A">
      <w:pPr>
        <w:pStyle w:val="ListeParagraf"/>
        <w:numPr>
          <w:ilvl w:val="0"/>
          <w:numId w:val="4"/>
        </w:numPr>
        <w:tabs>
          <w:tab w:val="left" w:pos="1098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verdiği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zamanlarda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</w:t>
      </w:r>
      <w:r>
        <w:rPr>
          <w:color w:val="1C283C"/>
          <w:sz w:val="24"/>
        </w:rPr>
        <w:t>rdımcılarından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vekalet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6F735B21" w14:textId="77777777" w:rsidR="00DB3C66" w:rsidRDefault="00C00B4A" w:rsidP="00C00B4A">
      <w:pPr>
        <w:pStyle w:val="ListeParagraf"/>
        <w:numPr>
          <w:ilvl w:val="0"/>
          <w:numId w:val="4"/>
        </w:numPr>
        <w:tabs>
          <w:tab w:val="left" w:pos="1022"/>
        </w:tabs>
        <w:ind w:left="1021" w:right="-329" w:hanging="340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377BE265" w14:textId="77777777" w:rsidR="00DB3C66" w:rsidRDefault="00C00B4A" w:rsidP="00C00B4A">
      <w:pPr>
        <w:pStyle w:val="ListeParagraf"/>
        <w:numPr>
          <w:ilvl w:val="0"/>
          <w:numId w:val="3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26A91BA1" w14:textId="77777777" w:rsidR="00DB3C66" w:rsidRDefault="00C00B4A" w:rsidP="00C00B4A">
      <w:pPr>
        <w:pStyle w:val="ListeParagraf"/>
        <w:numPr>
          <w:ilvl w:val="0"/>
          <w:numId w:val="3"/>
        </w:numPr>
        <w:tabs>
          <w:tab w:val="left" w:pos="952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gündemi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4095A849" w14:textId="77777777" w:rsidR="00DB3C66" w:rsidRDefault="00C00B4A" w:rsidP="00C00B4A">
      <w:pPr>
        <w:pStyle w:val="ListeParagraf"/>
        <w:numPr>
          <w:ilvl w:val="0"/>
          <w:numId w:val="3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kararlarını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yürütmek</w:t>
      </w:r>
      <w:proofErr w:type="spellEnd"/>
      <w:r>
        <w:rPr>
          <w:color w:val="1C283C"/>
          <w:sz w:val="24"/>
        </w:rPr>
        <w:t>.</w:t>
      </w:r>
    </w:p>
    <w:p w14:paraId="4865C638" w14:textId="77777777" w:rsidR="00DB3C66" w:rsidRDefault="00C00B4A" w:rsidP="00C00B4A">
      <w:pPr>
        <w:pStyle w:val="GvdeMetni"/>
        <w:ind w:left="682" w:right="-329" w:firstLine="0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.</w:t>
      </w:r>
    </w:p>
    <w:p w14:paraId="03723A0C" w14:textId="77777777" w:rsidR="00DB3C66" w:rsidRDefault="00C00B4A" w:rsidP="00C00B4A">
      <w:pPr>
        <w:pStyle w:val="ListeParagraf"/>
        <w:numPr>
          <w:ilvl w:val="0"/>
          <w:numId w:val="3"/>
        </w:numPr>
        <w:tabs>
          <w:tab w:val="left" w:pos="954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Müdürlük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program </w:t>
      </w:r>
      <w:proofErr w:type="spellStart"/>
      <w:r>
        <w:rPr>
          <w:color w:val="1C283C"/>
          <w:sz w:val="24"/>
        </w:rPr>
        <w:t>gruplarının</w:t>
      </w:r>
      <w:proofErr w:type="spellEnd"/>
      <w:r>
        <w:rPr>
          <w:color w:val="1C283C"/>
          <w:sz w:val="24"/>
        </w:rPr>
        <w:t xml:space="preserve"> da </w:t>
      </w:r>
      <w:proofErr w:type="spellStart"/>
      <w:r>
        <w:rPr>
          <w:color w:val="1C283C"/>
          <w:sz w:val="24"/>
        </w:rPr>
        <w:t>görüşünü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binalar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araç-gereçler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bildirmek</w:t>
      </w:r>
      <w:proofErr w:type="spellEnd"/>
      <w:r>
        <w:rPr>
          <w:color w:val="1C283C"/>
          <w:sz w:val="24"/>
        </w:rPr>
        <w:t>.</w:t>
      </w:r>
    </w:p>
    <w:p w14:paraId="5029A0D2" w14:textId="77777777" w:rsidR="00DB3C66" w:rsidRDefault="00C00B4A" w:rsidP="00C00B4A">
      <w:pPr>
        <w:pStyle w:val="ListeParagraf"/>
        <w:numPr>
          <w:ilvl w:val="0"/>
          <w:numId w:val="3"/>
        </w:numPr>
        <w:tabs>
          <w:tab w:val="left" w:pos="940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Yılsonu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raporlarını</w:t>
      </w:r>
      <w:proofErr w:type="spellEnd"/>
      <w:r>
        <w:rPr>
          <w:color w:val="1C283C"/>
          <w:sz w:val="24"/>
        </w:rPr>
        <w:t xml:space="preserve">, yeni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680B768C" w14:textId="77777777" w:rsidR="00DB3C66" w:rsidRDefault="00C00B4A" w:rsidP="00C00B4A">
      <w:pPr>
        <w:pStyle w:val="ListeParagraf"/>
        <w:numPr>
          <w:ilvl w:val="0"/>
          <w:numId w:val="4"/>
        </w:numPr>
        <w:tabs>
          <w:tab w:val="left" w:pos="1038"/>
        </w:tabs>
        <w:ind w:right="-329" w:firstLine="566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yürütülmesinden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geliştirilmesinden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çıkabilecek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çözülmesinden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derecede</w:t>
      </w:r>
      <w:proofErr w:type="spellEnd"/>
      <w:r>
        <w:rPr>
          <w:color w:val="1C283C"/>
          <w:spacing w:val="-11"/>
          <w:sz w:val="24"/>
        </w:rPr>
        <w:t xml:space="preserve"> </w:t>
      </w:r>
      <w:proofErr w:type="spellStart"/>
      <w:r>
        <w:rPr>
          <w:color w:val="1C283C"/>
          <w:sz w:val="24"/>
        </w:rPr>
        <w:t>sorumludur</w:t>
      </w:r>
      <w:proofErr w:type="spellEnd"/>
      <w:r>
        <w:rPr>
          <w:color w:val="1C283C"/>
          <w:sz w:val="24"/>
        </w:rPr>
        <w:t>.</w:t>
      </w:r>
    </w:p>
    <w:p w14:paraId="1ACFC608" w14:textId="77777777" w:rsidR="00DB3C66" w:rsidRDefault="00C00B4A" w:rsidP="00C00B4A">
      <w:pPr>
        <w:pStyle w:val="Balk1"/>
        <w:spacing w:before="4"/>
        <w:ind w:right="-329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2FECED56" w14:textId="77777777" w:rsidR="00DB3C66" w:rsidRDefault="00DB3C66" w:rsidP="00C00B4A">
      <w:pPr>
        <w:ind w:right="-329"/>
        <w:sectPr w:rsidR="00DB3C66">
          <w:pgSz w:w="11910" w:h="16840"/>
          <w:pgMar w:top="1320" w:right="1300" w:bottom="280" w:left="1300" w:header="708" w:footer="708" w:gutter="0"/>
          <w:cols w:space="708"/>
        </w:sectPr>
      </w:pPr>
    </w:p>
    <w:p w14:paraId="2F59BA36" w14:textId="4C6886FF" w:rsidR="00DB3C66" w:rsidRDefault="00C00B4A" w:rsidP="00C00B4A">
      <w:pPr>
        <w:pStyle w:val="GvdeMetni"/>
        <w:spacing w:before="70"/>
        <w:ind w:right="-329"/>
      </w:pPr>
      <w:r>
        <w:rPr>
          <w:b/>
          <w:color w:val="1C283C"/>
        </w:rPr>
        <w:lastRenderedPageBreak/>
        <w:t xml:space="preserve">MADDE 9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>.</w:t>
      </w:r>
    </w:p>
    <w:p w14:paraId="2049656A" w14:textId="77777777" w:rsidR="00DB3C66" w:rsidRDefault="00C00B4A" w:rsidP="00C00B4A">
      <w:pPr>
        <w:pStyle w:val="ListeParagraf"/>
        <w:numPr>
          <w:ilvl w:val="0"/>
          <w:numId w:val="2"/>
        </w:numPr>
        <w:tabs>
          <w:tab w:val="left" w:pos="1048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yıldır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dolmadan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tamamlamak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yöntemle</w:t>
      </w:r>
      <w:proofErr w:type="spellEnd"/>
      <w:r>
        <w:rPr>
          <w:color w:val="1C283C"/>
          <w:sz w:val="24"/>
        </w:rPr>
        <w:t xml:space="preserve"> yeni </w:t>
      </w:r>
      <w:proofErr w:type="spellStart"/>
      <w:r>
        <w:rPr>
          <w:color w:val="1C283C"/>
          <w:sz w:val="24"/>
        </w:rPr>
        <w:t>üye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biten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2"/>
          <w:sz w:val="24"/>
        </w:rPr>
        <w:t>üye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yeniden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görevlendirilebilir</w:t>
      </w:r>
      <w:proofErr w:type="spellEnd"/>
      <w:r>
        <w:rPr>
          <w:color w:val="1C283C"/>
          <w:sz w:val="24"/>
        </w:rPr>
        <w:t>.</w:t>
      </w:r>
    </w:p>
    <w:p w14:paraId="3AC44509" w14:textId="77777777" w:rsidR="00DB3C66" w:rsidRDefault="00C00B4A" w:rsidP="00C00B4A">
      <w:pPr>
        <w:pStyle w:val="ListeParagraf"/>
        <w:numPr>
          <w:ilvl w:val="0"/>
          <w:numId w:val="2"/>
        </w:numPr>
        <w:tabs>
          <w:tab w:val="left" w:pos="1029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defa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Toplantı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nisbi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sayısının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fazlası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yapılabilir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z w:val="24"/>
        </w:rPr>
        <w:t xml:space="preserve"> salt </w:t>
      </w:r>
      <w:proofErr w:type="spellStart"/>
      <w:r>
        <w:rPr>
          <w:color w:val="1C283C"/>
          <w:sz w:val="24"/>
        </w:rPr>
        <w:t>çoğunlukla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Oyların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eşitliği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kullandığı</w:t>
      </w:r>
      <w:proofErr w:type="spellEnd"/>
      <w:r>
        <w:rPr>
          <w:color w:val="1C283C"/>
          <w:sz w:val="24"/>
        </w:rPr>
        <w:t xml:space="preserve"> oy </w:t>
      </w:r>
      <w:proofErr w:type="spellStart"/>
      <w:r>
        <w:rPr>
          <w:color w:val="1C283C"/>
          <w:sz w:val="24"/>
        </w:rPr>
        <w:t>yönünde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çoğunluk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sağlanmış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sayılır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gördüğü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r>
        <w:rPr>
          <w:color w:val="1C283C"/>
          <w:sz w:val="24"/>
        </w:rPr>
        <w:t>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beşinin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yazılı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talebi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çağırır</w:t>
      </w:r>
      <w:proofErr w:type="spellEnd"/>
      <w:r>
        <w:rPr>
          <w:color w:val="1C283C"/>
          <w:sz w:val="24"/>
        </w:rPr>
        <w:t>.</w:t>
      </w:r>
    </w:p>
    <w:p w14:paraId="16994696" w14:textId="77777777" w:rsidR="00DB3C66" w:rsidRDefault="00C00B4A" w:rsidP="00C00B4A">
      <w:pPr>
        <w:pStyle w:val="ListeParagraf"/>
        <w:numPr>
          <w:ilvl w:val="0"/>
          <w:numId w:val="2"/>
        </w:numPr>
        <w:tabs>
          <w:tab w:val="left" w:pos="1065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defa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özürsüz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katılmayan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kendiliğinden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erer</w:t>
      </w:r>
      <w:proofErr w:type="spellEnd"/>
      <w:r>
        <w:rPr>
          <w:color w:val="1C283C"/>
          <w:sz w:val="24"/>
        </w:rPr>
        <w:t>.</w:t>
      </w:r>
    </w:p>
    <w:p w14:paraId="11359394" w14:textId="77777777" w:rsidR="00DB3C66" w:rsidRDefault="00C00B4A" w:rsidP="00C00B4A">
      <w:pPr>
        <w:pStyle w:val="ListeParagraf"/>
        <w:numPr>
          <w:ilvl w:val="0"/>
          <w:numId w:val="2"/>
        </w:numPr>
        <w:tabs>
          <w:tab w:val="left" w:pos="1022"/>
        </w:tabs>
        <w:spacing w:before="1"/>
        <w:ind w:left="1021" w:right="-329" w:hanging="340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4F6B5940" w14:textId="77777777" w:rsidR="00DB3C66" w:rsidRDefault="00C00B4A" w:rsidP="00C00B4A">
      <w:pPr>
        <w:pStyle w:val="ListeParagraf"/>
        <w:numPr>
          <w:ilvl w:val="0"/>
          <w:numId w:val="1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>.</w:t>
      </w:r>
    </w:p>
    <w:p w14:paraId="644BC6D6" w14:textId="77777777" w:rsidR="00DB3C66" w:rsidRDefault="00C00B4A" w:rsidP="00C00B4A">
      <w:pPr>
        <w:pStyle w:val="ListeParagraf"/>
        <w:numPr>
          <w:ilvl w:val="0"/>
          <w:numId w:val="1"/>
        </w:numPr>
        <w:tabs>
          <w:tab w:val="left" w:pos="943"/>
        </w:tabs>
        <w:ind w:left="942" w:right="-329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önerilerini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değerlendirmek</w:t>
      </w:r>
      <w:proofErr w:type="spellEnd"/>
      <w:r>
        <w:rPr>
          <w:color w:val="1C283C"/>
          <w:sz w:val="24"/>
        </w:rPr>
        <w:t>.</w:t>
      </w:r>
    </w:p>
    <w:p w14:paraId="4A17F0BC" w14:textId="77777777" w:rsidR="00DB3C66" w:rsidRDefault="00C00B4A" w:rsidP="00C00B4A">
      <w:pPr>
        <w:pStyle w:val="ListeParagraf"/>
        <w:numPr>
          <w:ilvl w:val="0"/>
          <w:numId w:val="1"/>
        </w:numPr>
        <w:tabs>
          <w:tab w:val="left" w:pos="929"/>
        </w:tabs>
        <w:ind w:left="682" w:right="-329" w:firstLine="0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eleman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Rektörlükten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talepte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 xml:space="preserve">. ç)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belirtilen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yerine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getirmek</w:t>
      </w:r>
      <w:proofErr w:type="spellEnd"/>
      <w:r>
        <w:rPr>
          <w:color w:val="1C283C"/>
          <w:sz w:val="24"/>
        </w:rPr>
        <w:t>.</w:t>
      </w:r>
    </w:p>
    <w:p w14:paraId="137B32D8" w14:textId="77777777" w:rsidR="00DB3C66" w:rsidRDefault="00C00B4A" w:rsidP="00C00B4A">
      <w:pPr>
        <w:pStyle w:val="Balk1"/>
        <w:spacing w:before="4" w:line="274" w:lineRule="exact"/>
        <w:ind w:right="-329"/>
        <w:jc w:val="both"/>
      </w:pPr>
      <w:proofErr w:type="spellStart"/>
      <w:r>
        <w:rPr>
          <w:color w:val="1C283C"/>
        </w:rPr>
        <w:t>Müdürlük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, program </w:t>
      </w:r>
      <w:proofErr w:type="spellStart"/>
      <w:r>
        <w:rPr>
          <w:color w:val="1C283C"/>
        </w:rPr>
        <w:t>k</w:t>
      </w:r>
      <w:r>
        <w:rPr>
          <w:color w:val="1C283C"/>
        </w:rPr>
        <w:t>oordinatörleri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program </w:t>
      </w:r>
      <w:proofErr w:type="spellStart"/>
      <w:r>
        <w:rPr>
          <w:color w:val="1C283C"/>
        </w:rPr>
        <w:t>rehberleri</w:t>
      </w:r>
      <w:proofErr w:type="spellEnd"/>
    </w:p>
    <w:p w14:paraId="785A3413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Merkez; </w:t>
      </w:r>
      <w:proofErr w:type="spellStart"/>
      <w:r>
        <w:rPr>
          <w:color w:val="1C283C"/>
        </w:rPr>
        <w:t>amaçlarını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amacıyla</w:t>
      </w:r>
      <w:proofErr w:type="spellEnd"/>
      <w:r>
        <w:rPr>
          <w:color w:val="1C283C"/>
        </w:rPr>
        <w:t xml:space="preserve">; Merkez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müdürlük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, program </w:t>
      </w:r>
      <w:proofErr w:type="spellStart"/>
      <w:r>
        <w:rPr>
          <w:color w:val="1C283C"/>
        </w:rPr>
        <w:t>koordinatörleri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program </w:t>
      </w:r>
      <w:proofErr w:type="spellStart"/>
      <w:r>
        <w:rPr>
          <w:color w:val="1C283C"/>
        </w:rPr>
        <w:t>rehberleri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şeklinde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birimler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oluşturabilir</w:t>
      </w:r>
      <w:proofErr w:type="spellEnd"/>
      <w:r>
        <w:rPr>
          <w:color w:val="1C283C"/>
        </w:rPr>
        <w:t>.</w:t>
      </w:r>
    </w:p>
    <w:p w14:paraId="378CB22A" w14:textId="77777777" w:rsidR="00DB3C66" w:rsidRDefault="00C00B4A" w:rsidP="00C00B4A">
      <w:pPr>
        <w:pStyle w:val="GvdeMetni"/>
        <w:ind w:right="-329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Müdürlük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biriml</w:t>
      </w:r>
      <w:r>
        <w:rPr>
          <w:color w:val="1C283C"/>
        </w:rPr>
        <w:t>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sayısı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belirlenir</w:t>
      </w:r>
      <w:proofErr w:type="spellEnd"/>
      <w:r>
        <w:rPr>
          <w:color w:val="1C283C"/>
        </w:rPr>
        <w:t>.</w:t>
      </w:r>
    </w:p>
    <w:p w14:paraId="2B9BD970" w14:textId="77777777" w:rsidR="00DB3C66" w:rsidRDefault="00C00B4A" w:rsidP="00C00B4A">
      <w:pPr>
        <w:pStyle w:val="Balk1"/>
        <w:spacing w:before="3"/>
        <w:ind w:left="664" w:right="-329"/>
        <w:jc w:val="center"/>
      </w:pPr>
      <w:r>
        <w:rPr>
          <w:color w:val="1C283C"/>
        </w:rPr>
        <w:t>DÖRDÜNCÜ BÖLÜM</w:t>
      </w:r>
    </w:p>
    <w:p w14:paraId="14F171E9" w14:textId="77777777" w:rsidR="00DB3C66" w:rsidRDefault="00C00B4A" w:rsidP="00C00B4A">
      <w:pPr>
        <w:ind w:left="664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0DABB16B" w14:textId="77777777" w:rsidR="00DB3C66" w:rsidRDefault="00C00B4A" w:rsidP="00C00B4A">
      <w:pPr>
        <w:ind w:left="664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İta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amiri</w:t>
      </w:r>
      <w:proofErr w:type="spellEnd"/>
    </w:p>
    <w:p w14:paraId="0EC20B13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ita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amiri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Rektördür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devredebilir</w:t>
      </w:r>
      <w:proofErr w:type="spellEnd"/>
      <w:r>
        <w:rPr>
          <w:color w:val="1C283C"/>
        </w:rPr>
        <w:t>.</w:t>
      </w:r>
    </w:p>
    <w:p w14:paraId="452F8A08" w14:textId="77777777" w:rsidR="00DB3C66" w:rsidRDefault="00C00B4A" w:rsidP="00C00B4A">
      <w:pPr>
        <w:pStyle w:val="Balk1"/>
        <w:spacing w:line="274" w:lineRule="exact"/>
        <w:ind w:right="-329"/>
        <w:jc w:val="both"/>
      </w:pP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</w:p>
    <w:p w14:paraId="4BCF1C3D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637B2700" w14:textId="77777777" w:rsidR="00DB3C66" w:rsidRDefault="00C00B4A" w:rsidP="00C00B4A">
      <w:pPr>
        <w:pStyle w:val="Balk1"/>
        <w:spacing w:before="3" w:line="274" w:lineRule="exact"/>
        <w:ind w:right="-329"/>
        <w:jc w:val="both"/>
      </w:pP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</w:t>
      </w:r>
      <w:r>
        <w:rPr>
          <w:color w:val="1C283C"/>
        </w:rPr>
        <w:t>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069418D9" w14:textId="77777777" w:rsidR="00DB3C66" w:rsidRDefault="00C00B4A" w:rsidP="00C00B4A">
      <w:pPr>
        <w:pStyle w:val="GvdeMetni"/>
        <w:ind w:right="-329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7A89FB3E" w14:textId="77777777" w:rsidR="00DB3C66" w:rsidRDefault="00C00B4A" w:rsidP="00C00B4A">
      <w:pPr>
        <w:pStyle w:val="Balk1"/>
        <w:spacing w:before="3" w:line="274" w:lineRule="exact"/>
        <w:ind w:right="-329"/>
      </w:pPr>
      <w:proofErr w:type="spellStart"/>
      <w:r>
        <w:rPr>
          <w:color w:val="1C283C"/>
        </w:rPr>
        <w:t>Yürürlük</w:t>
      </w:r>
      <w:proofErr w:type="spellEnd"/>
    </w:p>
    <w:p w14:paraId="1A78857E" w14:textId="77777777" w:rsidR="00DB3C66" w:rsidRDefault="00C00B4A" w:rsidP="00C00B4A">
      <w:pPr>
        <w:pStyle w:val="GvdeMetni"/>
        <w:spacing w:line="274" w:lineRule="exact"/>
        <w:ind w:left="682" w:right="-329" w:firstLine="0"/>
        <w:jc w:val="left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1CA5F1F1" w14:textId="77777777" w:rsidR="00DB3C66" w:rsidRDefault="00C00B4A" w:rsidP="00C00B4A">
      <w:pPr>
        <w:pStyle w:val="Balk1"/>
        <w:spacing w:before="5" w:line="274" w:lineRule="exact"/>
        <w:ind w:right="-329"/>
      </w:pPr>
      <w:proofErr w:type="spellStart"/>
      <w:r>
        <w:rPr>
          <w:color w:val="1C283C"/>
        </w:rPr>
        <w:t>Yürütme</w:t>
      </w:r>
      <w:proofErr w:type="spellEnd"/>
    </w:p>
    <w:p w14:paraId="253F62C0" w14:textId="19E22877" w:rsidR="00DB3C66" w:rsidRDefault="00C00B4A" w:rsidP="00C00B4A">
      <w:pPr>
        <w:pStyle w:val="GvdeMetni"/>
        <w:ind w:right="-329"/>
        <w:jc w:val="left"/>
        <w:rPr>
          <w:color w:val="1C283C"/>
        </w:rPr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5F42DC4E" w14:textId="230A7CC5" w:rsidR="000E2D90" w:rsidRDefault="000E2D90" w:rsidP="00C00B4A">
      <w:pPr>
        <w:pStyle w:val="GvdeMetni"/>
        <w:ind w:right="-329"/>
        <w:jc w:val="left"/>
      </w:pPr>
    </w:p>
    <w:p w14:paraId="646162A3" w14:textId="0711F597" w:rsidR="000E2D90" w:rsidRDefault="000E2D90" w:rsidP="00C00B4A">
      <w:pPr>
        <w:pStyle w:val="GvdeMetni"/>
        <w:ind w:right="-329"/>
        <w:jc w:val="left"/>
      </w:pPr>
    </w:p>
    <w:p w14:paraId="4CD4ECE8" w14:textId="34D462C6" w:rsidR="000E2D90" w:rsidRPr="000E2D90" w:rsidRDefault="000E2D90" w:rsidP="00C00B4A">
      <w:pPr>
        <w:spacing w:before="71"/>
        <w:ind w:left="116" w:right="-329"/>
        <w:rPr>
          <w:sz w:val="24"/>
          <w:szCs w:val="24"/>
        </w:rPr>
      </w:pPr>
      <w:r>
        <w:rPr>
          <w:color w:val="1C283C"/>
          <w:sz w:val="24"/>
          <w:szCs w:val="24"/>
        </w:rPr>
        <w:t>*</w:t>
      </w:r>
      <w:proofErr w:type="spellStart"/>
      <w:r w:rsidRPr="00C00B4A">
        <w:rPr>
          <w:b/>
          <w:bCs/>
          <w:color w:val="1C283C"/>
          <w:sz w:val="24"/>
          <w:szCs w:val="24"/>
        </w:rPr>
        <w:t>Resmi</w:t>
      </w:r>
      <w:proofErr w:type="spellEnd"/>
      <w:r w:rsidRPr="00C00B4A">
        <w:rPr>
          <w:b/>
          <w:bCs/>
          <w:color w:val="1C283C"/>
          <w:sz w:val="24"/>
          <w:szCs w:val="24"/>
        </w:rPr>
        <w:t xml:space="preserve"> </w:t>
      </w:r>
      <w:proofErr w:type="spellStart"/>
      <w:r w:rsidRPr="00C00B4A">
        <w:rPr>
          <w:b/>
          <w:bCs/>
          <w:color w:val="1C283C"/>
          <w:sz w:val="24"/>
          <w:szCs w:val="24"/>
        </w:rPr>
        <w:t>Gazete</w:t>
      </w:r>
      <w:proofErr w:type="spellEnd"/>
      <w:r w:rsidRPr="00C00B4A">
        <w:rPr>
          <w:b/>
          <w:bCs/>
          <w:color w:val="1C283C"/>
          <w:sz w:val="24"/>
          <w:szCs w:val="24"/>
        </w:rPr>
        <w:t xml:space="preserve"> </w:t>
      </w:r>
      <w:proofErr w:type="spellStart"/>
      <w:r w:rsidRPr="00C00B4A">
        <w:rPr>
          <w:b/>
          <w:bCs/>
          <w:color w:val="1C283C"/>
          <w:sz w:val="24"/>
          <w:szCs w:val="24"/>
        </w:rPr>
        <w:t>Tarihi</w:t>
      </w:r>
      <w:proofErr w:type="spellEnd"/>
      <w:r w:rsidRPr="00C00B4A">
        <w:rPr>
          <w:b/>
          <w:bCs/>
          <w:color w:val="1C283C"/>
          <w:sz w:val="24"/>
          <w:szCs w:val="24"/>
        </w:rPr>
        <w:t xml:space="preserve">: 15.02.2015 </w:t>
      </w:r>
      <w:proofErr w:type="spellStart"/>
      <w:r w:rsidRPr="00C00B4A">
        <w:rPr>
          <w:b/>
          <w:bCs/>
          <w:color w:val="1C283C"/>
          <w:sz w:val="24"/>
          <w:szCs w:val="24"/>
        </w:rPr>
        <w:t>Resmi</w:t>
      </w:r>
      <w:proofErr w:type="spellEnd"/>
      <w:r w:rsidRPr="00C00B4A">
        <w:rPr>
          <w:b/>
          <w:bCs/>
          <w:color w:val="1C283C"/>
          <w:sz w:val="24"/>
          <w:szCs w:val="24"/>
        </w:rPr>
        <w:t xml:space="preserve"> </w:t>
      </w:r>
      <w:proofErr w:type="spellStart"/>
      <w:r w:rsidRPr="00C00B4A">
        <w:rPr>
          <w:b/>
          <w:bCs/>
          <w:color w:val="1C283C"/>
          <w:sz w:val="24"/>
          <w:szCs w:val="24"/>
        </w:rPr>
        <w:t>Gazete</w:t>
      </w:r>
      <w:proofErr w:type="spellEnd"/>
      <w:r w:rsidRPr="00C00B4A">
        <w:rPr>
          <w:b/>
          <w:bCs/>
          <w:color w:val="1C283C"/>
          <w:sz w:val="24"/>
          <w:szCs w:val="24"/>
        </w:rPr>
        <w:t xml:space="preserve"> </w:t>
      </w:r>
      <w:proofErr w:type="spellStart"/>
      <w:r w:rsidRPr="00C00B4A">
        <w:rPr>
          <w:b/>
          <w:bCs/>
          <w:color w:val="1C283C"/>
          <w:sz w:val="24"/>
          <w:szCs w:val="24"/>
        </w:rPr>
        <w:t>Sayısı</w:t>
      </w:r>
      <w:proofErr w:type="spellEnd"/>
      <w:r w:rsidRPr="00C00B4A">
        <w:rPr>
          <w:b/>
          <w:bCs/>
          <w:color w:val="1C283C"/>
          <w:sz w:val="24"/>
          <w:szCs w:val="24"/>
        </w:rPr>
        <w:t>: 29268</w:t>
      </w:r>
    </w:p>
    <w:p w14:paraId="57074452" w14:textId="77777777" w:rsidR="000E2D90" w:rsidRDefault="000E2D90" w:rsidP="00C00B4A">
      <w:pPr>
        <w:pStyle w:val="GvdeMetni"/>
        <w:ind w:right="-329"/>
        <w:jc w:val="left"/>
      </w:pPr>
    </w:p>
    <w:sectPr w:rsidR="000E2D9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F33"/>
    <w:multiLevelType w:val="hybridMultilevel"/>
    <w:tmpl w:val="47224296"/>
    <w:lvl w:ilvl="0" w:tplc="C03A1B12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0C0097D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EE049F5C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F43AE59A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DE7E12B0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473AF190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D1B6F048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AA8C47B8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C02AA4B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1" w15:restartNumberingAfterBreak="0">
    <w:nsid w:val="177E7F0F"/>
    <w:multiLevelType w:val="hybridMultilevel"/>
    <w:tmpl w:val="8BBE9486"/>
    <w:lvl w:ilvl="0" w:tplc="4BB85DF8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78EA3630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29CE3B64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D6C041FC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E3EE9D14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B1B2685C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FCFAA642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BFC8EE9C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7FE4DF8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1DC004D8"/>
    <w:multiLevelType w:val="hybridMultilevel"/>
    <w:tmpl w:val="E2B84C62"/>
    <w:lvl w:ilvl="0" w:tplc="DEB8CDE8">
      <w:start w:val="2"/>
      <w:numFmt w:val="decimal"/>
      <w:lvlText w:val="(%1)"/>
      <w:lvlJc w:val="left"/>
      <w:pPr>
        <w:ind w:left="116" w:hanging="379"/>
        <w:jc w:val="left"/>
      </w:pPr>
      <w:rPr>
        <w:rFonts w:ascii="Times New Roman" w:eastAsia="Times New Roman" w:hAnsi="Times New Roman" w:cs="Times New Roman" w:hint="default"/>
        <w:color w:val="1C283C"/>
        <w:spacing w:val="-21"/>
        <w:w w:val="100"/>
        <w:sz w:val="24"/>
        <w:szCs w:val="24"/>
        <w:lang w:val="en-US" w:eastAsia="en-US" w:bidi="en-US"/>
      </w:rPr>
    </w:lvl>
    <w:lvl w:ilvl="1" w:tplc="C21E8E66">
      <w:numFmt w:val="bullet"/>
      <w:lvlText w:val="•"/>
      <w:lvlJc w:val="left"/>
      <w:pPr>
        <w:ind w:left="1038" w:hanging="379"/>
      </w:pPr>
      <w:rPr>
        <w:rFonts w:hint="default"/>
        <w:lang w:val="en-US" w:eastAsia="en-US" w:bidi="en-US"/>
      </w:rPr>
    </w:lvl>
    <w:lvl w:ilvl="2" w:tplc="59208338">
      <w:numFmt w:val="bullet"/>
      <w:lvlText w:val="•"/>
      <w:lvlJc w:val="left"/>
      <w:pPr>
        <w:ind w:left="1957" w:hanging="379"/>
      </w:pPr>
      <w:rPr>
        <w:rFonts w:hint="default"/>
        <w:lang w:val="en-US" w:eastAsia="en-US" w:bidi="en-US"/>
      </w:rPr>
    </w:lvl>
    <w:lvl w:ilvl="3" w:tplc="8DB4D184">
      <w:numFmt w:val="bullet"/>
      <w:lvlText w:val="•"/>
      <w:lvlJc w:val="left"/>
      <w:pPr>
        <w:ind w:left="2875" w:hanging="379"/>
      </w:pPr>
      <w:rPr>
        <w:rFonts w:hint="default"/>
        <w:lang w:val="en-US" w:eastAsia="en-US" w:bidi="en-US"/>
      </w:rPr>
    </w:lvl>
    <w:lvl w:ilvl="4" w:tplc="5BF2BA5C">
      <w:numFmt w:val="bullet"/>
      <w:lvlText w:val="•"/>
      <w:lvlJc w:val="left"/>
      <w:pPr>
        <w:ind w:left="3794" w:hanging="379"/>
      </w:pPr>
      <w:rPr>
        <w:rFonts w:hint="default"/>
        <w:lang w:val="en-US" w:eastAsia="en-US" w:bidi="en-US"/>
      </w:rPr>
    </w:lvl>
    <w:lvl w:ilvl="5" w:tplc="E77AC302">
      <w:numFmt w:val="bullet"/>
      <w:lvlText w:val="•"/>
      <w:lvlJc w:val="left"/>
      <w:pPr>
        <w:ind w:left="4713" w:hanging="379"/>
      </w:pPr>
      <w:rPr>
        <w:rFonts w:hint="default"/>
        <w:lang w:val="en-US" w:eastAsia="en-US" w:bidi="en-US"/>
      </w:rPr>
    </w:lvl>
    <w:lvl w:ilvl="6" w:tplc="B5A87EFE">
      <w:numFmt w:val="bullet"/>
      <w:lvlText w:val="•"/>
      <w:lvlJc w:val="left"/>
      <w:pPr>
        <w:ind w:left="5631" w:hanging="379"/>
      </w:pPr>
      <w:rPr>
        <w:rFonts w:hint="default"/>
        <w:lang w:val="en-US" w:eastAsia="en-US" w:bidi="en-US"/>
      </w:rPr>
    </w:lvl>
    <w:lvl w:ilvl="7" w:tplc="439AFACA">
      <w:numFmt w:val="bullet"/>
      <w:lvlText w:val="•"/>
      <w:lvlJc w:val="left"/>
      <w:pPr>
        <w:ind w:left="6550" w:hanging="379"/>
      </w:pPr>
      <w:rPr>
        <w:rFonts w:hint="default"/>
        <w:lang w:val="en-US" w:eastAsia="en-US" w:bidi="en-US"/>
      </w:rPr>
    </w:lvl>
    <w:lvl w:ilvl="8" w:tplc="D646B6C2">
      <w:numFmt w:val="bullet"/>
      <w:lvlText w:val="•"/>
      <w:lvlJc w:val="left"/>
      <w:pPr>
        <w:ind w:left="7469" w:hanging="379"/>
      </w:pPr>
      <w:rPr>
        <w:rFonts w:hint="default"/>
        <w:lang w:val="en-US" w:eastAsia="en-US" w:bidi="en-US"/>
      </w:rPr>
    </w:lvl>
  </w:abstractNum>
  <w:abstractNum w:abstractNumId="3" w15:restartNumberingAfterBreak="0">
    <w:nsid w:val="4F97222A"/>
    <w:multiLevelType w:val="hybridMultilevel"/>
    <w:tmpl w:val="B4E8CBC6"/>
    <w:lvl w:ilvl="0" w:tplc="FC585F2E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CBD8B95E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E1C87978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88A4A154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AD307DD2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7172B8C4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D8ACC5EA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58F6567E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A90E318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5CBE1FF8"/>
    <w:multiLevelType w:val="hybridMultilevel"/>
    <w:tmpl w:val="3AB460B6"/>
    <w:lvl w:ilvl="0" w:tplc="8AC88960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6"/>
        <w:w w:val="100"/>
        <w:sz w:val="24"/>
        <w:szCs w:val="24"/>
        <w:lang w:val="en-US" w:eastAsia="en-US" w:bidi="en-US"/>
      </w:rPr>
    </w:lvl>
    <w:lvl w:ilvl="1" w:tplc="C054E1F0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71925BBE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DCF8C00E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5462A6C4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246A37A4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E4E0E124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C8DE82D8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03E4850C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609860AE"/>
    <w:multiLevelType w:val="hybridMultilevel"/>
    <w:tmpl w:val="9D263B62"/>
    <w:lvl w:ilvl="0" w:tplc="736EBCD2">
      <w:start w:val="2"/>
      <w:numFmt w:val="decimal"/>
      <w:lvlText w:val="(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33DA860C">
      <w:numFmt w:val="bullet"/>
      <w:lvlText w:val="•"/>
      <w:lvlJc w:val="left"/>
      <w:pPr>
        <w:ind w:left="1038" w:hanging="365"/>
      </w:pPr>
      <w:rPr>
        <w:rFonts w:hint="default"/>
        <w:lang w:val="en-US" w:eastAsia="en-US" w:bidi="en-US"/>
      </w:rPr>
    </w:lvl>
    <w:lvl w:ilvl="2" w:tplc="FD043916">
      <w:numFmt w:val="bullet"/>
      <w:lvlText w:val="•"/>
      <w:lvlJc w:val="left"/>
      <w:pPr>
        <w:ind w:left="1957" w:hanging="365"/>
      </w:pPr>
      <w:rPr>
        <w:rFonts w:hint="default"/>
        <w:lang w:val="en-US" w:eastAsia="en-US" w:bidi="en-US"/>
      </w:rPr>
    </w:lvl>
    <w:lvl w:ilvl="3" w:tplc="92A40206">
      <w:numFmt w:val="bullet"/>
      <w:lvlText w:val="•"/>
      <w:lvlJc w:val="left"/>
      <w:pPr>
        <w:ind w:left="2875" w:hanging="365"/>
      </w:pPr>
      <w:rPr>
        <w:rFonts w:hint="default"/>
        <w:lang w:val="en-US" w:eastAsia="en-US" w:bidi="en-US"/>
      </w:rPr>
    </w:lvl>
    <w:lvl w:ilvl="4" w:tplc="F1AE245A">
      <w:numFmt w:val="bullet"/>
      <w:lvlText w:val="•"/>
      <w:lvlJc w:val="left"/>
      <w:pPr>
        <w:ind w:left="3794" w:hanging="365"/>
      </w:pPr>
      <w:rPr>
        <w:rFonts w:hint="default"/>
        <w:lang w:val="en-US" w:eastAsia="en-US" w:bidi="en-US"/>
      </w:rPr>
    </w:lvl>
    <w:lvl w:ilvl="5" w:tplc="F05A398E">
      <w:numFmt w:val="bullet"/>
      <w:lvlText w:val="•"/>
      <w:lvlJc w:val="left"/>
      <w:pPr>
        <w:ind w:left="4713" w:hanging="365"/>
      </w:pPr>
      <w:rPr>
        <w:rFonts w:hint="default"/>
        <w:lang w:val="en-US" w:eastAsia="en-US" w:bidi="en-US"/>
      </w:rPr>
    </w:lvl>
    <w:lvl w:ilvl="6" w:tplc="4CEEB3C2">
      <w:numFmt w:val="bullet"/>
      <w:lvlText w:val="•"/>
      <w:lvlJc w:val="left"/>
      <w:pPr>
        <w:ind w:left="5631" w:hanging="365"/>
      </w:pPr>
      <w:rPr>
        <w:rFonts w:hint="default"/>
        <w:lang w:val="en-US" w:eastAsia="en-US" w:bidi="en-US"/>
      </w:rPr>
    </w:lvl>
    <w:lvl w:ilvl="7" w:tplc="89561A4E">
      <w:numFmt w:val="bullet"/>
      <w:lvlText w:val="•"/>
      <w:lvlJc w:val="left"/>
      <w:pPr>
        <w:ind w:left="6550" w:hanging="365"/>
      </w:pPr>
      <w:rPr>
        <w:rFonts w:hint="default"/>
        <w:lang w:val="en-US" w:eastAsia="en-US" w:bidi="en-US"/>
      </w:rPr>
    </w:lvl>
    <w:lvl w:ilvl="8" w:tplc="907C51D8">
      <w:numFmt w:val="bullet"/>
      <w:lvlText w:val="•"/>
      <w:lvlJc w:val="left"/>
      <w:pPr>
        <w:ind w:left="7469" w:hanging="365"/>
      </w:pPr>
      <w:rPr>
        <w:rFonts w:hint="default"/>
        <w:lang w:val="en-US" w:eastAsia="en-US" w:bidi="en-US"/>
      </w:rPr>
    </w:lvl>
  </w:abstractNum>
  <w:abstractNum w:abstractNumId="6" w15:restartNumberingAfterBreak="0">
    <w:nsid w:val="70CE5BC9"/>
    <w:multiLevelType w:val="hybridMultilevel"/>
    <w:tmpl w:val="FD0A35D2"/>
    <w:lvl w:ilvl="0" w:tplc="35FA4464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FD705380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CF62721E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87CAEF20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59BA9226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5BD46BFC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FE5E0318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2690DBF2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6A7A53CC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6"/>
    <w:rsid w:val="000E2D90"/>
    <w:rsid w:val="00C00B4A"/>
    <w:rsid w:val="00DB3C66"/>
    <w:rsid w:val="00F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A7B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6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2021-11-11T12:28:00Z</dcterms:created>
  <dcterms:modified xsi:type="dcterms:W3CDTF">2021-11-11T12:28:00Z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