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A12E" w14:textId="0E5C195F" w:rsidR="002D657C" w:rsidRDefault="002D657C" w:rsidP="002D657C">
      <w:pPr>
        <w:pStyle w:val="Balk1"/>
        <w:spacing w:before="111" w:line="240" w:lineRule="auto"/>
        <w:ind w:left="0" w:right="1894"/>
      </w:pPr>
    </w:p>
    <w:p w14:paraId="7E4612D9" w14:textId="614DF7A8" w:rsidR="002D657C" w:rsidRDefault="002D657C">
      <w:pPr>
        <w:pStyle w:val="Balk1"/>
        <w:spacing w:before="111" w:line="240" w:lineRule="auto"/>
        <w:ind w:left="1891" w:right="1894"/>
        <w:jc w:val="center"/>
      </w:pPr>
    </w:p>
    <w:tbl>
      <w:tblPr>
        <w:tblStyle w:val="TableNormal"/>
        <w:tblpPr w:leftFromText="141" w:rightFromText="141" w:vertAnchor="text" w:tblpX="289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111"/>
        <w:gridCol w:w="2010"/>
        <w:gridCol w:w="2106"/>
      </w:tblGrid>
      <w:tr w:rsidR="002D657C" w:rsidRPr="004C4A7F" w14:paraId="0546D065" w14:textId="77777777" w:rsidTr="002D657C">
        <w:trPr>
          <w:trHeight w:val="26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1C3CD2A2" w14:textId="0E6484DA" w:rsidR="002D657C" w:rsidRPr="004C4A7F" w:rsidRDefault="002D657C" w:rsidP="002D657C">
            <w:pPr>
              <w:spacing w:before="2"/>
              <w:rPr>
                <w:rFonts w:eastAsia="Calibri" w:hAnsi="Calibri" w:cs="Calibri"/>
                <w:sz w:val="8"/>
              </w:rPr>
            </w:pPr>
          </w:p>
          <w:p w14:paraId="64695E53" w14:textId="41494F99" w:rsidR="002D657C" w:rsidRPr="004C4A7F" w:rsidRDefault="002D657C" w:rsidP="002D657C">
            <w:pPr>
              <w:ind w:left="323"/>
              <w:rPr>
                <w:rFonts w:eastAsia="Calibri" w:hAnsi="Calibri" w:cs="Calibri"/>
                <w:sz w:val="20"/>
              </w:rPr>
            </w:pPr>
            <w:r w:rsidRPr="004C4A7F">
              <w:rPr>
                <w:rFonts w:eastAsia="Calibri" w:hAnsi="Calibri" w:cs="Calibri"/>
                <w:noProof/>
                <w:sz w:val="20"/>
              </w:rPr>
              <w:drawing>
                <wp:anchor distT="0" distB="0" distL="114300" distR="114300" simplePos="0" relativeHeight="251661824" behindDoc="1" locked="0" layoutInCell="1" allowOverlap="1" wp14:anchorId="1A488010" wp14:editId="2FE4B63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200660</wp:posOffset>
                  </wp:positionV>
                  <wp:extent cx="832199" cy="74523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99" cy="7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399F7E3" w14:textId="77777777" w:rsidR="002D657C" w:rsidRDefault="002D657C" w:rsidP="002D657C">
            <w:pPr>
              <w:ind w:left="134" w:right="104"/>
              <w:rPr>
                <w:rFonts w:eastAsia="Calibri"/>
                <w:b/>
                <w:sz w:val="24"/>
                <w:szCs w:val="24"/>
              </w:rPr>
            </w:pPr>
          </w:p>
          <w:p w14:paraId="2C995E49" w14:textId="77777777" w:rsidR="002D657C" w:rsidRDefault="002D657C" w:rsidP="002D657C">
            <w:pPr>
              <w:ind w:left="134" w:right="104"/>
              <w:rPr>
                <w:rFonts w:eastAsia="Calibri"/>
                <w:b/>
                <w:sz w:val="24"/>
                <w:szCs w:val="24"/>
              </w:rPr>
            </w:pPr>
          </w:p>
          <w:p w14:paraId="39548F50" w14:textId="29473A6E" w:rsidR="002D657C" w:rsidRPr="004C4A7F" w:rsidRDefault="002D657C" w:rsidP="002D657C">
            <w:pPr>
              <w:ind w:left="134" w:right="104"/>
              <w:rPr>
                <w:rFonts w:eastAsia="Calibri"/>
                <w:b/>
                <w:sz w:val="24"/>
                <w:szCs w:val="24"/>
              </w:rPr>
            </w:pPr>
            <w:r w:rsidRPr="004C4A7F">
              <w:rPr>
                <w:rFonts w:eastAsia="Calibri"/>
                <w:b/>
                <w:sz w:val="24"/>
                <w:szCs w:val="24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</w:rPr>
              <w:t>İLK YÜZDE ON BAŞARI DEĞERLENDİRME YÖNERGESİ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ABEE2" w14:textId="77777777" w:rsidR="002D657C" w:rsidRPr="002D657C" w:rsidRDefault="002D657C" w:rsidP="002D657C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</w:rPr>
            </w:pPr>
            <w:r w:rsidRPr="002D657C">
              <w:rPr>
                <w:rFonts w:eastAsia="Calibri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49E79A" w14:textId="34D5AE63" w:rsidR="002D657C" w:rsidRPr="002D657C" w:rsidRDefault="002D657C" w:rsidP="002D657C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D657C">
              <w:rPr>
                <w:rFonts w:eastAsia="Calibri"/>
                <w:sz w:val="20"/>
                <w:szCs w:val="20"/>
              </w:rPr>
              <w:t>EYS-YNG-031</w:t>
            </w:r>
          </w:p>
        </w:tc>
      </w:tr>
      <w:tr w:rsidR="002D657C" w:rsidRPr="004C4A7F" w14:paraId="7C06FDA3" w14:textId="77777777" w:rsidTr="002D657C">
        <w:trPr>
          <w:trHeight w:val="323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8B5772E" w14:textId="77777777" w:rsidR="002D657C" w:rsidRPr="004C4A7F" w:rsidRDefault="002D657C" w:rsidP="002D657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A9D3F0" w14:textId="77777777" w:rsidR="002D657C" w:rsidRPr="004C4A7F" w:rsidRDefault="002D657C" w:rsidP="002D657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468D0" w14:textId="77777777" w:rsidR="002D657C" w:rsidRPr="002D657C" w:rsidRDefault="002D657C" w:rsidP="002D657C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2D657C">
              <w:rPr>
                <w:rFonts w:eastAsia="Calibri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A5F077" w14:textId="7C1E6355" w:rsidR="002D657C" w:rsidRPr="002D657C" w:rsidRDefault="002D657C" w:rsidP="002D657C">
            <w:pPr>
              <w:spacing w:line="176" w:lineRule="exact"/>
              <w:ind w:right="44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2D657C">
              <w:rPr>
                <w:rFonts w:eastAsia="Calibri"/>
                <w:sz w:val="20"/>
                <w:szCs w:val="20"/>
              </w:rPr>
              <w:t>01.11.2021</w:t>
            </w:r>
          </w:p>
        </w:tc>
      </w:tr>
      <w:tr w:rsidR="002D657C" w:rsidRPr="004C4A7F" w14:paraId="5558F2E7" w14:textId="77777777" w:rsidTr="002D657C">
        <w:trPr>
          <w:trHeight w:val="383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33D5272" w14:textId="77777777" w:rsidR="002D657C" w:rsidRPr="004C4A7F" w:rsidRDefault="002D657C" w:rsidP="002D657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290BF8C" w14:textId="77777777" w:rsidR="002D657C" w:rsidRPr="004C4A7F" w:rsidRDefault="002D657C" w:rsidP="002D657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1396D" w14:textId="77777777" w:rsidR="002D657C" w:rsidRPr="002D657C" w:rsidRDefault="002D657C" w:rsidP="002D657C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2D657C">
              <w:rPr>
                <w:rFonts w:eastAsia="Calibri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D4BCBA" w14:textId="7458576A" w:rsidR="002D657C" w:rsidRPr="002D657C" w:rsidRDefault="002D657C" w:rsidP="002D657C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2D657C">
              <w:rPr>
                <w:rFonts w:eastAsia="Calibri"/>
                <w:sz w:val="20"/>
                <w:szCs w:val="20"/>
              </w:rPr>
              <w:t>--</w:t>
            </w:r>
          </w:p>
        </w:tc>
      </w:tr>
      <w:tr w:rsidR="002D657C" w:rsidRPr="004C4A7F" w14:paraId="3C728552" w14:textId="77777777" w:rsidTr="002D657C">
        <w:trPr>
          <w:trHeight w:val="301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06B5EC2" w14:textId="77777777" w:rsidR="002D657C" w:rsidRPr="004C4A7F" w:rsidRDefault="002D657C" w:rsidP="002D657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1F2652" w14:textId="77777777" w:rsidR="002D657C" w:rsidRPr="004C4A7F" w:rsidRDefault="002D657C" w:rsidP="002D657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DFC91" w14:textId="77777777" w:rsidR="002D657C" w:rsidRPr="002D657C" w:rsidRDefault="002D657C" w:rsidP="002D657C">
            <w:pPr>
              <w:spacing w:line="176" w:lineRule="exact"/>
              <w:ind w:left="34"/>
              <w:rPr>
                <w:rFonts w:eastAsia="Calibri"/>
                <w:sz w:val="20"/>
                <w:szCs w:val="20"/>
              </w:rPr>
            </w:pPr>
            <w:r w:rsidRPr="002D657C">
              <w:rPr>
                <w:rFonts w:eastAsia="Calibri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9F2C47" w14:textId="458503B6" w:rsidR="002D657C" w:rsidRPr="002D657C" w:rsidRDefault="002D657C" w:rsidP="002D657C">
            <w:pPr>
              <w:spacing w:line="176" w:lineRule="exact"/>
              <w:ind w:right="44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2D657C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D657C" w:rsidRPr="004C4A7F" w14:paraId="21CB960F" w14:textId="77777777" w:rsidTr="002D657C">
        <w:trPr>
          <w:trHeight w:val="46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071796D" w14:textId="77777777" w:rsidR="002D657C" w:rsidRPr="004C4A7F" w:rsidRDefault="002D657C" w:rsidP="002D657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4C0DE2" w14:textId="77777777" w:rsidR="002D657C" w:rsidRPr="004C4A7F" w:rsidRDefault="002D657C" w:rsidP="002D657C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4957CC" w14:textId="42E426A4" w:rsidR="002D657C" w:rsidRPr="002D657C" w:rsidRDefault="002D657C" w:rsidP="002D657C">
            <w:pPr>
              <w:spacing w:before="22"/>
              <w:ind w:left="34"/>
              <w:rPr>
                <w:rFonts w:eastAsia="Calibri"/>
                <w:sz w:val="20"/>
                <w:szCs w:val="20"/>
              </w:rPr>
            </w:pPr>
            <w:r w:rsidRPr="002D657C">
              <w:rPr>
                <w:rFonts w:eastAsia="Calibri"/>
                <w:w w:val="105"/>
                <w:sz w:val="20"/>
                <w:szCs w:val="20"/>
              </w:rPr>
              <w:t>Toplam Sayfa</w:t>
            </w:r>
            <w:r w:rsidRPr="002D657C">
              <w:rPr>
                <w:rFonts w:eastAsia="Calibri"/>
                <w:sz w:val="20"/>
                <w:szCs w:val="20"/>
              </w:rPr>
              <w:t xml:space="preserve"> </w:t>
            </w:r>
            <w:r w:rsidRPr="002D657C">
              <w:rPr>
                <w:rFonts w:eastAsia="Calibri"/>
                <w:w w:val="105"/>
                <w:sz w:val="20"/>
                <w:szCs w:val="20"/>
              </w:rPr>
              <w:t>Sayısı</w:t>
            </w:r>
            <w:r w:rsidRPr="002D657C">
              <w:rPr>
                <w:rFonts w:eastAsia="Calibri"/>
                <w:w w:val="105"/>
                <w:sz w:val="20"/>
                <w:szCs w:val="20"/>
              </w:rPr>
              <w:t>: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BA04A0" w14:textId="65DB4E3C" w:rsidR="002D657C" w:rsidRPr="002D657C" w:rsidRDefault="002D657C" w:rsidP="002D657C">
            <w:pPr>
              <w:spacing w:before="1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2D657C">
              <w:rPr>
                <w:rFonts w:eastAsia="Calibri"/>
                <w:sz w:val="20"/>
                <w:szCs w:val="20"/>
              </w:rPr>
              <w:t>2</w:t>
            </w:r>
          </w:p>
          <w:p w14:paraId="16504DF6" w14:textId="77777777" w:rsidR="002D657C" w:rsidRPr="002D657C" w:rsidRDefault="002D657C" w:rsidP="002D657C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</w:rPr>
            </w:pPr>
          </w:p>
        </w:tc>
      </w:tr>
    </w:tbl>
    <w:p w14:paraId="4F19411D" w14:textId="77777777" w:rsidR="002D657C" w:rsidRDefault="002D657C" w:rsidP="002D657C">
      <w:pPr>
        <w:rPr>
          <w:b/>
          <w:sz w:val="24"/>
        </w:rPr>
      </w:pPr>
    </w:p>
    <w:p w14:paraId="4181775A" w14:textId="3805BC65" w:rsidR="00185D3F" w:rsidRDefault="002D657C" w:rsidP="002D657C">
      <w:pPr>
        <w:ind w:left="284" w:firstLine="524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>ma</w:t>
      </w:r>
      <w:r>
        <w:rPr>
          <w:b/>
          <w:sz w:val="24"/>
        </w:rPr>
        <w:t>ç</w:t>
      </w:r>
    </w:p>
    <w:p w14:paraId="1ECC9236" w14:textId="77777777" w:rsidR="00185D3F" w:rsidRDefault="002D657C" w:rsidP="002D657C">
      <w:pPr>
        <w:pStyle w:val="GvdeMetni"/>
        <w:spacing w:line="272" w:lineRule="exact"/>
        <w:ind w:left="284" w:firstLine="524"/>
        <w:jc w:val="both"/>
      </w:pPr>
      <w:r>
        <w:rPr>
          <w:b/>
        </w:rPr>
        <w:t xml:space="preserve">MADDE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>Bu yönerge; ilk yüzde ona giren öğrencilerin belirlenmesi amacıyla çıkartılmıştır.</w:t>
      </w:r>
    </w:p>
    <w:p w14:paraId="2911E547" w14:textId="77777777" w:rsidR="00185D3F" w:rsidRDefault="002D657C" w:rsidP="002D657C">
      <w:pPr>
        <w:pStyle w:val="Balk1"/>
        <w:spacing w:before="5"/>
        <w:ind w:left="284" w:firstLine="524"/>
        <w:jc w:val="both"/>
      </w:pPr>
      <w:r>
        <w:t>Kapsam</w:t>
      </w:r>
    </w:p>
    <w:p w14:paraId="2E95AF75" w14:textId="77777777" w:rsidR="00185D3F" w:rsidRDefault="002D657C" w:rsidP="002D657C">
      <w:pPr>
        <w:pStyle w:val="GvdeMetni"/>
        <w:spacing w:line="274" w:lineRule="exact"/>
        <w:ind w:left="284" w:firstLine="524"/>
        <w:jc w:val="both"/>
      </w:pPr>
      <w:r>
        <w:rPr>
          <w:b/>
        </w:rPr>
        <w:t xml:space="preserve">MADDE </w:t>
      </w:r>
      <w:proofErr w:type="gramStart"/>
      <w:r>
        <w:rPr>
          <w:b/>
        </w:rPr>
        <w:t>2 -</w:t>
      </w:r>
      <w:proofErr w:type="gramEnd"/>
      <w:r>
        <w:rPr>
          <w:b/>
        </w:rPr>
        <w:t xml:space="preserve"> </w:t>
      </w:r>
      <w:r>
        <w:t>Bu yönerge; üniversitenin ön lisans, lisans öğrencilerini kapsar.</w:t>
      </w:r>
    </w:p>
    <w:p w14:paraId="3F78ED1A" w14:textId="77777777" w:rsidR="00185D3F" w:rsidRDefault="002D657C" w:rsidP="002D657C">
      <w:pPr>
        <w:pStyle w:val="Balk1"/>
        <w:spacing w:before="4"/>
        <w:ind w:left="284" w:firstLine="524"/>
        <w:jc w:val="both"/>
      </w:pPr>
      <w:r>
        <w:t>Dayanak</w:t>
      </w:r>
    </w:p>
    <w:p w14:paraId="1D2CD0DE" w14:textId="77777777" w:rsidR="00185D3F" w:rsidRDefault="002D657C" w:rsidP="002D657C">
      <w:pPr>
        <w:pStyle w:val="GvdeMetni"/>
        <w:ind w:left="284" w:firstLine="524"/>
        <w:jc w:val="both"/>
      </w:pPr>
      <w:r>
        <w:rPr>
          <w:b/>
        </w:rPr>
        <w:t xml:space="preserve">MADDE </w:t>
      </w:r>
      <w:proofErr w:type="gramStart"/>
      <w:r>
        <w:rPr>
          <w:b/>
        </w:rPr>
        <w:t>3 -</w:t>
      </w:r>
      <w:proofErr w:type="gramEnd"/>
      <w:r>
        <w:rPr>
          <w:b/>
        </w:rPr>
        <w:t xml:space="preserve"> </w:t>
      </w:r>
      <w:r>
        <w:t>Bu yönerge; 2547 sayılı Yükseköğretim Kanununun 46’ncı maddesinin “h” ve</w:t>
      </w:r>
      <w:r>
        <w:t xml:space="preserve"> “ı” bentleri ile 01/03/2012 tarihli Yükseköğretim Genel Kurul Kararına dayanarak hazırlanmıştır.</w:t>
      </w:r>
    </w:p>
    <w:p w14:paraId="5B55A6FE" w14:textId="77777777" w:rsidR="00185D3F" w:rsidRDefault="002D657C" w:rsidP="002D657C">
      <w:pPr>
        <w:pStyle w:val="Balk1"/>
        <w:ind w:left="284" w:firstLine="524"/>
        <w:jc w:val="both"/>
      </w:pPr>
      <w:r>
        <w:t>Tanımlar</w:t>
      </w:r>
    </w:p>
    <w:p w14:paraId="7FF45003" w14:textId="77777777" w:rsidR="00185D3F" w:rsidRDefault="002D657C" w:rsidP="002D657C">
      <w:pPr>
        <w:spacing w:line="274" w:lineRule="exact"/>
        <w:ind w:left="284" w:firstLine="524"/>
        <w:jc w:val="both"/>
        <w:rPr>
          <w:sz w:val="24"/>
        </w:rPr>
      </w:pPr>
      <w:r>
        <w:rPr>
          <w:b/>
          <w:sz w:val="24"/>
        </w:rPr>
        <w:t xml:space="preserve">MADDE </w:t>
      </w:r>
      <w:proofErr w:type="gramStart"/>
      <w:r>
        <w:rPr>
          <w:b/>
          <w:sz w:val="24"/>
        </w:rPr>
        <w:t>4 -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Bu yönergede geçen;</w:t>
      </w:r>
    </w:p>
    <w:p w14:paraId="5AAE78F3" w14:textId="7273D467" w:rsidR="00185D3F" w:rsidRDefault="002D657C" w:rsidP="002D657C">
      <w:pPr>
        <w:pStyle w:val="ListeParagraf"/>
        <w:numPr>
          <w:ilvl w:val="0"/>
          <w:numId w:val="3"/>
        </w:numPr>
        <w:tabs>
          <w:tab w:val="left" w:pos="1233"/>
          <w:tab w:val="left" w:pos="1234"/>
        </w:tabs>
        <w:ind w:left="284" w:firstLine="524"/>
        <w:jc w:val="both"/>
        <w:rPr>
          <w:sz w:val="24"/>
        </w:rPr>
      </w:pPr>
      <w:r>
        <w:rPr>
          <w:sz w:val="24"/>
        </w:rPr>
        <w:t xml:space="preserve">Üniversite: Tekirdağ </w:t>
      </w:r>
      <w:r>
        <w:rPr>
          <w:sz w:val="24"/>
        </w:rPr>
        <w:t>Namık Kemal Üniversitesi,</w:t>
      </w:r>
    </w:p>
    <w:p w14:paraId="7262F7D6" w14:textId="3A4865B9" w:rsidR="00185D3F" w:rsidRDefault="002D657C" w:rsidP="002D657C">
      <w:pPr>
        <w:pStyle w:val="ListeParagraf"/>
        <w:numPr>
          <w:ilvl w:val="0"/>
          <w:numId w:val="3"/>
        </w:numPr>
        <w:tabs>
          <w:tab w:val="left" w:pos="1233"/>
          <w:tab w:val="left" w:pos="1234"/>
        </w:tabs>
        <w:ind w:left="284" w:firstLine="524"/>
        <w:jc w:val="both"/>
        <w:rPr>
          <w:sz w:val="24"/>
        </w:rPr>
      </w:pPr>
      <w:r>
        <w:rPr>
          <w:sz w:val="24"/>
        </w:rPr>
        <w:t xml:space="preserve">Rektör: Tekirdağ </w:t>
      </w:r>
      <w:r>
        <w:rPr>
          <w:sz w:val="24"/>
        </w:rPr>
        <w:t>Namık Kemal Üniversitesi</w:t>
      </w:r>
      <w:r>
        <w:rPr>
          <w:spacing w:val="-1"/>
          <w:sz w:val="24"/>
        </w:rPr>
        <w:t xml:space="preserve"> </w:t>
      </w:r>
      <w:r>
        <w:rPr>
          <w:sz w:val="24"/>
        </w:rPr>
        <w:t>Rektörünü,</w:t>
      </w:r>
    </w:p>
    <w:p w14:paraId="59CACCB8" w14:textId="3AC309B4" w:rsidR="00185D3F" w:rsidRDefault="002D657C" w:rsidP="002D657C">
      <w:pPr>
        <w:pStyle w:val="ListeParagraf"/>
        <w:numPr>
          <w:ilvl w:val="0"/>
          <w:numId w:val="3"/>
        </w:numPr>
        <w:tabs>
          <w:tab w:val="left" w:pos="1233"/>
          <w:tab w:val="left" w:pos="1234"/>
        </w:tabs>
        <w:ind w:left="284" w:firstLine="524"/>
        <w:jc w:val="both"/>
        <w:rPr>
          <w:sz w:val="24"/>
        </w:rPr>
      </w:pPr>
      <w:r>
        <w:rPr>
          <w:sz w:val="24"/>
        </w:rPr>
        <w:t xml:space="preserve">Öğrenci: Tekirdağ </w:t>
      </w:r>
      <w:r>
        <w:rPr>
          <w:sz w:val="24"/>
        </w:rPr>
        <w:t>Namık Kemal Üniversitesi</w:t>
      </w:r>
      <w:r>
        <w:rPr>
          <w:spacing w:val="3"/>
          <w:sz w:val="24"/>
        </w:rPr>
        <w:t xml:space="preserve"> </w:t>
      </w:r>
      <w:r>
        <w:rPr>
          <w:sz w:val="24"/>
        </w:rPr>
        <w:t>öğr</w:t>
      </w:r>
      <w:r>
        <w:rPr>
          <w:sz w:val="24"/>
        </w:rPr>
        <w:t>encisini,</w:t>
      </w:r>
    </w:p>
    <w:p w14:paraId="541C91F9" w14:textId="77777777" w:rsidR="00185D3F" w:rsidRDefault="002D657C" w:rsidP="002D657C">
      <w:pPr>
        <w:pStyle w:val="ListeParagraf"/>
        <w:numPr>
          <w:ilvl w:val="0"/>
          <w:numId w:val="3"/>
        </w:numPr>
        <w:tabs>
          <w:tab w:val="left" w:pos="1233"/>
          <w:tab w:val="left" w:pos="1234"/>
        </w:tabs>
        <w:ind w:left="284" w:firstLine="524"/>
        <w:jc w:val="both"/>
        <w:rPr>
          <w:sz w:val="24"/>
        </w:rPr>
      </w:pPr>
      <w:r>
        <w:rPr>
          <w:sz w:val="24"/>
        </w:rPr>
        <w:t>Bölüm Öğrenci Sayısı: Bir bölüm için sadece o bölümde kayıtlı toplam öğrenci</w:t>
      </w:r>
      <w:r>
        <w:rPr>
          <w:spacing w:val="-11"/>
          <w:sz w:val="24"/>
        </w:rPr>
        <w:t xml:space="preserve"> </w:t>
      </w:r>
      <w:r>
        <w:rPr>
          <w:sz w:val="24"/>
        </w:rPr>
        <w:t>sayısını,</w:t>
      </w:r>
    </w:p>
    <w:p w14:paraId="6718E335" w14:textId="77777777" w:rsidR="00185D3F" w:rsidRDefault="002D657C" w:rsidP="002D657C">
      <w:pPr>
        <w:pStyle w:val="ListeParagraf"/>
        <w:numPr>
          <w:ilvl w:val="0"/>
          <w:numId w:val="3"/>
        </w:numPr>
        <w:tabs>
          <w:tab w:val="left" w:pos="1234"/>
        </w:tabs>
        <w:spacing w:before="1"/>
        <w:ind w:left="284" w:right="102" w:firstLine="524"/>
        <w:jc w:val="both"/>
        <w:rPr>
          <w:sz w:val="24"/>
        </w:rPr>
      </w:pPr>
      <w:r>
        <w:rPr>
          <w:sz w:val="24"/>
        </w:rPr>
        <w:t>Değerlendirmeye Esas Öğrenci Sayısı: Bölüm öğrenci sayısından hazırlık sınıfı, özel öğrenci, değişim programı, azami öğrenim süresini dolduran, ilgili dönem iç</w:t>
      </w:r>
      <w:r>
        <w:rPr>
          <w:sz w:val="24"/>
        </w:rPr>
        <w:t>in belirlenen asgari dersleri almayan, yatay veya dikey geçişle gelen en az bir dönem öğrenim görmeyen öğrenciler, bütünleme mazeret sınavına girenler hariç tutularak tespit edilen 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sayısını,</w:t>
      </w:r>
    </w:p>
    <w:p w14:paraId="40D15BB8" w14:textId="77777777" w:rsidR="00185D3F" w:rsidRDefault="002D657C" w:rsidP="002D657C">
      <w:pPr>
        <w:pStyle w:val="ListeParagraf"/>
        <w:numPr>
          <w:ilvl w:val="0"/>
          <w:numId w:val="3"/>
        </w:numPr>
        <w:tabs>
          <w:tab w:val="left" w:pos="1234"/>
        </w:tabs>
        <w:ind w:left="284" w:right="106" w:firstLine="524"/>
        <w:jc w:val="both"/>
        <w:rPr>
          <w:sz w:val="24"/>
        </w:rPr>
      </w:pPr>
      <w:r>
        <w:rPr>
          <w:sz w:val="24"/>
        </w:rPr>
        <w:t>Asgari Dersler: Üniversite Senatosunca ilgili dönem için kabul edilen zorunlu ve seçmeli derslerin</w:t>
      </w:r>
      <w:r>
        <w:rPr>
          <w:spacing w:val="-1"/>
          <w:sz w:val="24"/>
        </w:rPr>
        <w:t xml:space="preserve"> </w:t>
      </w:r>
      <w:r>
        <w:rPr>
          <w:sz w:val="24"/>
        </w:rPr>
        <w:t>sayısını,</w:t>
      </w:r>
    </w:p>
    <w:p w14:paraId="3AB87829" w14:textId="77777777" w:rsidR="00185D3F" w:rsidRDefault="002D657C" w:rsidP="002D657C">
      <w:pPr>
        <w:pStyle w:val="ListeParagraf"/>
        <w:numPr>
          <w:ilvl w:val="0"/>
          <w:numId w:val="3"/>
        </w:numPr>
        <w:tabs>
          <w:tab w:val="left" w:pos="1234"/>
        </w:tabs>
        <w:ind w:left="284" w:firstLine="524"/>
        <w:jc w:val="both"/>
        <w:rPr>
          <w:sz w:val="24"/>
        </w:rPr>
      </w:pPr>
      <w:r>
        <w:rPr>
          <w:sz w:val="24"/>
        </w:rPr>
        <w:t>Katkı Payı: Cari hizmet maliyetlerine öğrenci katkısı olarak alınacak</w:t>
      </w:r>
      <w:r>
        <w:rPr>
          <w:spacing w:val="-3"/>
          <w:sz w:val="24"/>
        </w:rPr>
        <w:t xml:space="preserve"> </w:t>
      </w:r>
      <w:r>
        <w:rPr>
          <w:sz w:val="24"/>
        </w:rPr>
        <w:t>miktarı,</w:t>
      </w:r>
    </w:p>
    <w:p w14:paraId="51E6A053" w14:textId="77777777" w:rsidR="00185D3F" w:rsidRDefault="002D657C" w:rsidP="002D657C">
      <w:pPr>
        <w:pStyle w:val="ListeParagraf"/>
        <w:numPr>
          <w:ilvl w:val="0"/>
          <w:numId w:val="3"/>
        </w:numPr>
        <w:tabs>
          <w:tab w:val="left" w:pos="1233"/>
          <w:tab w:val="left" w:pos="1234"/>
        </w:tabs>
        <w:ind w:left="284" w:right="526" w:firstLine="524"/>
        <w:jc w:val="both"/>
        <w:rPr>
          <w:sz w:val="24"/>
        </w:rPr>
      </w:pPr>
      <w:r>
        <w:rPr>
          <w:sz w:val="24"/>
        </w:rPr>
        <w:t>Öğrenim Ücreti: İkinci öğretim öğrencilerinin ödeyecekleri cari hizm</w:t>
      </w:r>
      <w:r>
        <w:rPr>
          <w:sz w:val="24"/>
        </w:rPr>
        <w:t>et maliyeti</w:t>
      </w:r>
      <w:r>
        <w:rPr>
          <w:spacing w:val="-22"/>
          <w:sz w:val="24"/>
        </w:rPr>
        <w:t xml:space="preserve"> </w:t>
      </w:r>
      <w:r>
        <w:rPr>
          <w:sz w:val="24"/>
        </w:rPr>
        <w:t>ücretini, ifade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14:paraId="17A16B6B" w14:textId="77777777" w:rsidR="00185D3F" w:rsidRDefault="002D657C" w:rsidP="002D657C">
      <w:pPr>
        <w:pStyle w:val="Balk1"/>
        <w:spacing w:before="5"/>
        <w:ind w:left="284" w:firstLine="524"/>
        <w:jc w:val="both"/>
      </w:pPr>
      <w:r>
        <w:t>Genel şartlar</w:t>
      </w:r>
    </w:p>
    <w:p w14:paraId="26A2A47D" w14:textId="77777777" w:rsidR="00185D3F" w:rsidRDefault="002D657C" w:rsidP="002D657C">
      <w:pPr>
        <w:pStyle w:val="GvdeMetni"/>
        <w:ind w:left="284" w:right="38" w:firstLine="524"/>
        <w:jc w:val="both"/>
      </w:pPr>
      <w:r>
        <w:rPr>
          <w:b/>
        </w:rPr>
        <w:t xml:space="preserve">MADDE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</w:t>
      </w:r>
      <w:r>
        <w:t>(1) İlk yüzde ona girerek katkı payı/öğrenim ücreti indiriminden yararlanacak öğrenci kontenjanı ve öğrencilerin tespiti, bölümler bazında güz ve bahar dönem sonunda yapılır.</w:t>
      </w:r>
    </w:p>
    <w:p w14:paraId="488D273A" w14:textId="77777777" w:rsidR="00185D3F" w:rsidRDefault="002D657C" w:rsidP="002D657C">
      <w:pPr>
        <w:pStyle w:val="ListeParagraf"/>
        <w:numPr>
          <w:ilvl w:val="0"/>
          <w:numId w:val="2"/>
        </w:numPr>
        <w:tabs>
          <w:tab w:val="left" w:pos="1202"/>
        </w:tabs>
        <w:ind w:left="284" w:right="104" w:firstLine="524"/>
        <w:jc w:val="both"/>
        <w:rPr>
          <w:sz w:val="24"/>
        </w:rPr>
      </w:pPr>
      <w:r>
        <w:rPr>
          <w:sz w:val="24"/>
        </w:rPr>
        <w:t xml:space="preserve">Katkı payı/öğrenim ücreti indiriminden yararlanacak öğrenci kontenjanı değerlendirmeye esas öğrenci sayısının yüzde onu alınarak tespit edilir. Sonuçlarda, ondalık noktadan sonraki iki </w:t>
      </w:r>
      <w:r>
        <w:rPr>
          <w:spacing w:val="-3"/>
          <w:sz w:val="24"/>
        </w:rPr>
        <w:t xml:space="preserve">sayı </w:t>
      </w:r>
      <w:r>
        <w:rPr>
          <w:spacing w:val="2"/>
          <w:sz w:val="24"/>
        </w:rPr>
        <w:t xml:space="preserve">0- </w:t>
      </w:r>
      <w:r>
        <w:rPr>
          <w:sz w:val="24"/>
        </w:rPr>
        <w:t>49 arası ise alta, 50-99 arası ise üste</w:t>
      </w:r>
      <w:r>
        <w:rPr>
          <w:spacing w:val="-1"/>
          <w:sz w:val="24"/>
        </w:rPr>
        <w:t xml:space="preserve"> </w:t>
      </w:r>
      <w:r>
        <w:rPr>
          <w:sz w:val="24"/>
        </w:rPr>
        <w:t>yuvarlanır.</w:t>
      </w:r>
    </w:p>
    <w:p w14:paraId="6A26B169" w14:textId="77777777" w:rsidR="00185D3F" w:rsidRDefault="002D657C" w:rsidP="002D657C">
      <w:pPr>
        <w:pStyle w:val="ListeParagraf"/>
        <w:numPr>
          <w:ilvl w:val="0"/>
          <w:numId w:val="2"/>
        </w:numPr>
        <w:tabs>
          <w:tab w:val="left" w:pos="1190"/>
        </w:tabs>
        <w:ind w:left="284" w:right="109" w:firstLine="524"/>
        <w:jc w:val="both"/>
        <w:rPr>
          <w:sz w:val="24"/>
        </w:rPr>
      </w:pPr>
      <w:r>
        <w:rPr>
          <w:sz w:val="24"/>
        </w:rPr>
        <w:t>Muaf / Tran</w:t>
      </w:r>
      <w:r>
        <w:rPr>
          <w:sz w:val="24"/>
        </w:rPr>
        <w:t>sfer dersi olanlar ilgili ders dışında kalan derslerin dönem not ortalaması ile hesaplamaya</w:t>
      </w:r>
      <w:r>
        <w:rPr>
          <w:spacing w:val="-2"/>
          <w:sz w:val="24"/>
        </w:rPr>
        <w:t xml:space="preserve"> </w:t>
      </w:r>
      <w:r>
        <w:rPr>
          <w:sz w:val="24"/>
        </w:rPr>
        <w:t>katılırlar.</w:t>
      </w:r>
    </w:p>
    <w:p w14:paraId="69710513" w14:textId="77777777" w:rsidR="00185D3F" w:rsidRDefault="002D657C" w:rsidP="002D657C">
      <w:pPr>
        <w:pStyle w:val="ListeParagraf"/>
        <w:numPr>
          <w:ilvl w:val="0"/>
          <w:numId w:val="2"/>
        </w:numPr>
        <w:tabs>
          <w:tab w:val="left" w:pos="1150"/>
        </w:tabs>
        <w:ind w:left="284" w:firstLine="524"/>
        <w:jc w:val="both"/>
        <w:rPr>
          <w:sz w:val="24"/>
        </w:rPr>
      </w:pPr>
      <w:r>
        <w:rPr>
          <w:sz w:val="24"/>
        </w:rPr>
        <w:t>Zorunlu yabancı dil hazırlık sınıfından başarısız olanlar değerlendirmeye</w:t>
      </w:r>
      <w:r>
        <w:rPr>
          <w:spacing w:val="-2"/>
          <w:sz w:val="24"/>
        </w:rPr>
        <w:t xml:space="preserve"> </w:t>
      </w:r>
      <w:r>
        <w:rPr>
          <w:sz w:val="24"/>
        </w:rPr>
        <w:t>alınmazlar.</w:t>
      </w:r>
    </w:p>
    <w:p w14:paraId="2FDC9460" w14:textId="77777777" w:rsidR="00185D3F" w:rsidRDefault="002D657C" w:rsidP="002D657C">
      <w:pPr>
        <w:pStyle w:val="ListeParagraf"/>
        <w:numPr>
          <w:ilvl w:val="0"/>
          <w:numId w:val="2"/>
        </w:numPr>
        <w:tabs>
          <w:tab w:val="left" w:pos="1150"/>
        </w:tabs>
        <w:ind w:left="284" w:firstLine="524"/>
        <w:jc w:val="both"/>
        <w:rPr>
          <w:sz w:val="24"/>
        </w:rPr>
      </w:pPr>
      <w:r>
        <w:rPr>
          <w:sz w:val="24"/>
        </w:rPr>
        <w:t xml:space="preserve">İsteğe bağlı yabancı dil hazırlık sınıfından başarılı olamayanlar </w:t>
      </w:r>
      <w:r>
        <w:rPr>
          <w:sz w:val="24"/>
        </w:rPr>
        <w:t>değerlendirmeye</w:t>
      </w:r>
      <w:r>
        <w:rPr>
          <w:spacing w:val="-11"/>
          <w:sz w:val="24"/>
        </w:rPr>
        <w:t xml:space="preserve"> </w:t>
      </w:r>
      <w:r>
        <w:rPr>
          <w:sz w:val="24"/>
        </w:rPr>
        <w:t>alınırlar.</w:t>
      </w:r>
    </w:p>
    <w:p w14:paraId="3C3504FC" w14:textId="77777777" w:rsidR="00185D3F" w:rsidRDefault="002D657C" w:rsidP="002D657C">
      <w:pPr>
        <w:pStyle w:val="ListeParagraf"/>
        <w:numPr>
          <w:ilvl w:val="0"/>
          <w:numId w:val="2"/>
        </w:numPr>
        <w:tabs>
          <w:tab w:val="left" w:pos="1202"/>
        </w:tabs>
        <w:ind w:left="284" w:right="103" w:firstLine="524"/>
        <w:jc w:val="both"/>
        <w:rPr>
          <w:sz w:val="24"/>
        </w:rPr>
      </w:pPr>
      <w:r>
        <w:rPr>
          <w:sz w:val="24"/>
        </w:rPr>
        <w:t>Değerlendirmeye esas öğrencilerin dönem sonu itibariyle başarı ortalamaları sıralanır ve ortalaması en yüksek olan öğrenciden başlayarak ayrılan kontenjan kadar öğrenci tespit edilir. Tespit edilen bu öğrenciler arasında başarısı</w:t>
      </w:r>
      <w:r>
        <w:rPr>
          <w:sz w:val="24"/>
        </w:rPr>
        <w:t>z dersi bulunan öğrenciler hariç diğer öğrenciler Katkı payı/öğrenim ücreti indiriminden yararlanır.</w:t>
      </w:r>
    </w:p>
    <w:p w14:paraId="590D16C8" w14:textId="77777777" w:rsidR="00185D3F" w:rsidRDefault="002D657C" w:rsidP="002D657C">
      <w:pPr>
        <w:pStyle w:val="Balk1"/>
        <w:ind w:left="284" w:firstLine="524"/>
        <w:jc w:val="both"/>
      </w:pPr>
      <w:r>
        <w:t>Uygulama</w:t>
      </w:r>
    </w:p>
    <w:p w14:paraId="662FCB53" w14:textId="77777777" w:rsidR="00185D3F" w:rsidRDefault="002D657C" w:rsidP="002D657C">
      <w:pPr>
        <w:pStyle w:val="GvdeMetni"/>
        <w:ind w:left="284" w:firstLine="524"/>
        <w:jc w:val="both"/>
      </w:pPr>
      <w:r>
        <w:rPr>
          <w:b/>
        </w:rPr>
        <w:t xml:space="preserve">MADDE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>(1) Birinci öğretim öğrencileri, bir sonraki dönemde ödeyecekleri öğrenci katkı payının yarısını öder.</w:t>
      </w:r>
    </w:p>
    <w:p w14:paraId="529812BB" w14:textId="77777777" w:rsidR="00185D3F" w:rsidRDefault="002D657C" w:rsidP="002D657C">
      <w:pPr>
        <w:pStyle w:val="ListeParagraf"/>
        <w:numPr>
          <w:ilvl w:val="0"/>
          <w:numId w:val="1"/>
        </w:numPr>
        <w:tabs>
          <w:tab w:val="left" w:pos="1178"/>
        </w:tabs>
        <w:ind w:left="284" w:right="113" w:firstLine="524"/>
        <w:jc w:val="both"/>
        <w:rPr>
          <w:sz w:val="24"/>
        </w:rPr>
      </w:pPr>
      <w:r>
        <w:rPr>
          <w:sz w:val="24"/>
        </w:rPr>
        <w:t>İkinci öğretim öğrencileri, bir sonraki dönemde birinci öğretim öğrencilerinin ödeyecekleri öğrenci katkı payı kadar öğrenim ücreti</w:t>
      </w:r>
      <w:r>
        <w:rPr>
          <w:spacing w:val="1"/>
          <w:sz w:val="24"/>
        </w:rPr>
        <w:t xml:space="preserve"> </w:t>
      </w:r>
      <w:r>
        <w:rPr>
          <w:sz w:val="24"/>
        </w:rPr>
        <w:t>öder.</w:t>
      </w:r>
    </w:p>
    <w:p w14:paraId="2F137922" w14:textId="77777777" w:rsidR="00185D3F" w:rsidRDefault="002D657C" w:rsidP="002D657C">
      <w:pPr>
        <w:pStyle w:val="ListeParagraf"/>
        <w:numPr>
          <w:ilvl w:val="0"/>
          <w:numId w:val="1"/>
        </w:numPr>
        <w:tabs>
          <w:tab w:val="left" w:pos="1162"/>
        </w:tabs>
        <w:ind w:left="284" w:right="110" w:firstLine="524"/>
        <w:jc w:val="both"/>
        <w:rPr>
          <w:sz w:val="24"/>
        </w:rPr>
      </w:pPr>
      <w:r>
        <w:rPr>
          <w:sz w:val="24"/>
        </w:rPr>
        <w:t>İlk yüzde ona g</w:t>
      </w:r>
      <w:r>
        <w:rPr>
          <w:sz w:val="24"/>
        </w:rPr>
        <w:t>iren son öğrenci ile aynı akademik ortalamaya sahip olan diğer öğrenciler de bu haktan</w:t>
      </w:r>
      <w:r>
        <w:rPr>
          <w:spacing w:val="3"/>
          <w:sz w:val="24"/>
        </w:rPr>
        <w:t xml:space="preserve"> </w:t>
      </w:r>
      <w:r>
        <w:rPr>
          <w:sz w:val="24"/>
        </w:rPr>
        <w:t>yararlanır.</w:t>
      </w:r>
    </w:p>
    <w:p w14:paraId="191AE818" w14:textId="77777777" w:rsidR="00185D3F" w:rsidRDefault="002D657C" w:rsidP="002D657C">
      <w:pPr>
        <w:pStyle w:val="Balk1"/>
        <w:ind w:left="284" w:firstLine="524"/>
        <w:jc w:val="both"/>
      </w:pPr>
      <w:r>
        <w:t>Geç bildirilen notlar</w:t>
      </w:r>
    </w:p>
    <w:p w14:paraId="384692EC" w14:textId="77777777" w:rsidR="00185D3F" w:rsidRDefault="002D657C" w:rsidP="002D657C">
      <w:pPr>
        <w:pStyle w:val="GvdeMetni"/>
        <w:ind w:left="284" w:firstLine="524"/>
        <w:jc w:val="both"/>
      </w:pPr>
      <w:r>
        <w:rPr>
          <w:b/>
        </w:rPr>
        <w:t xml:space="preserve">MADDE–6: </w:t>
      </w:r>
      <w:r>
        <w:t>(1) Yönetmeliklerde belirtilen itiraz süresi bittikten sonra bildirilen not ve not düzeltmeleri dikkate alınmaz.</w:t>
      </w:r>
    </w:p>
    <w:p w14:paraId="067F360A" w14:textId="77777777" w:rsidR="00185D3F" w:rsidRDefault="002D657C" w:rsidP="002D657C">
      <w:pPr>
        <w:pStyle w:val="Balk1"/>
        <w:ind w:left="284" w:firstLine="524"/>
        <w:jc w:val="both"/>
      </w:pPr>
      <w:r>
        <w:lastRenderedPageBreak/>
        <w:t>Yürürlük</w:t>
      </w:r>
    </w:p>
    <w:p w14:paraId="5948C9FD" w14:textId="77777777" w:rsidR="00185D3F" w:rsidRDefault="002D657C" w:rsidP="002D657C">
      <w:pPr>
        <w:pStyle w:val="GvdeMetni"/>
        <w:spacing w:line="274" w:lineRule="exact"/>
        <w:ind w:left="284" w:firstLine="524"/>
        <w:jc w:val="both"/>
      </w:pPr>
      <w:r>
        <w:rPr>
          <w:b/>
        </w:rPr>
        <w:t>MADD</w:t>
      </w:r>
      <w:r>
        <w:rPr>
          <w:b/>
        </w:rPr>
        <w:t xml:space="preserve">E–7: </w:t>
      </w:r>
      <w:r>
        <w:t>(1) Bu esaslar, 2011–2012 eğitim öğretim yılı bahar yarıyılından itibaren uygulanır.</w:t>
      </w:r>
    </w:p>
    <w:p w14:paraId="5879DD21" w14:textId="77777777" w:rsidR="00185D3F" w:rsidRDefault="002D657C" w:rsidP="002D657C">
      <w:pPr>
        <w:pStyle w:val="Balk1"/>
        <w:spacing w:before="4"/>
        <w:ind w:left="284" w:firstLine="524"/>
        <w:jc w:val="both"/>
      </w:pPr>
      <w:r>
        <w:t>Yürütme</w:t>
      </w:r>
    </w:p>
    <w:p w14:paraId="56251C3F" w14:textId="6618C572" w:rsidR="00185D3F" w:rsidRDefault="002D657C" w:rsidP="002D657C">
      <w:pPr>
        <w:pStyle w:val="GvdeMetni"/>
        <w:spacing w:line="274" w:lineRule="exact"/>
        <w:ind w:left="284" w:firstLine="524"/>
        <w:jc w:val="both"/>
      </w:pPr>
      <w:r>
        <w:rPr>
          <w:b/>
        </w:rPr>
        <w:t xml:space="preserve">MADDE–8: </w:t>
      </w:r>
      <w:r>
        <w:t xml:space="preserve">(1) Bu esasları Tekirdağ </w:t>
      </w:r>
      <w:r>
        <w:t>Namık Kemal Üniversitesi Rektörü yürütür.</w:t>
      </w:r>
    </w:p>
    <w:p w14:paraId="72BB18C5" w14:textId="0EB2257F" w:rsidR="00A7748C" w:rsidRDefault="00A7748C" w:rsidP="002D657C">
      <w:pPr>
        <w:pStyle w:val="GvdeMetni"/>
        <w:spacing w:line="274" w:lineRule="exact"/>
        <w:ind w:left="284" w:firstLine="524"/>
        <w:jc w:val="both"/>
      </w:pPr>
    </w:p>
    <w:p w14:paraId="6A31CB2E" w14:textId="347F8776" w:rsidR="002D657C" w:rsidRDefault="002D657C" w:rsidP="002D657C">
      <w:pPr>
        <w:pStyle w:val="GvdeMetni"/>
        <w:spacing w:line="274" w:lineRule="exact"/>
        <w:ind w:left="284" w:firstLine="524"/>
        <w:jc w:val="both"/>
      </w:pPr>
    </w:p>
    <w:p w14:paraId="1B7C7C68" w14:textId="77777777" w:rsidR="002D657C" w:rsidRDefault="002D657C" w:rsidP="002D657C">
      <w:pPr>
        <w:pStyle w:val="GvdeMetni"/>
        <w:spacing w:line="274" w:lineRule="exact"/>
        <w:ind w:left="284" w:firstLine="524"/>
        <w:jc w:val="both"/>
      </w:pPr>
    </w:p>
    <w:p w14:paraId="63552A37" w14:textId="06F7C449" w:rsidR="00A7748C" w:rsidRDefault="00A7748C" w:rsidP="002D657C">
      <w:pPr>
        <w:pStyle w:val="GvdeMetni"/>
        <w:spacing w:line="274" w:lineRule="exact"/>
        <w:ind w:left="284" w:firstLine="524"/>
        <w:jc w:val="both"/>
      </w:pPr>
      <w:r>
        <w:t>*Yürürlük Tarihi: 19.07.2012</w:t>
      </w:r>
    </w:p>
    <w:p w14:paraId="78C8997B" w14:textId="1AED7029" w:rsidR="00A7748C" w:rsidRDefault="00A7748C" w:rsidP="002D657C">
      <w:pPr>
        <w:pStyle w:val="GvdeMetni"/>
        <w:spacing w:line="274" w:lineRule="exact"/>
        <w:ind w:left="284" w:firstLine="524"/>
        <w:jc w:val="both"/>
      </w:pPr>
      <w:r>
        <w:t>*İlgili Birim: Öğrenci İşleri Daire Başkanlığı</w:t>
      </w:r>
    </w:p>
    <w:sectPr w:rsidR="00A7748C" w:rsidSect="002D657C">
      <w:type w:val="continuous"/>
      <w:pgSz w:w="11910" w:h="16840"/>
      <w:pgMar w:top="740" w:right="995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2FBD"/>
    <w:multiLevelType w:val="hybridMultilevel"/>
    <w:tmpl w:val="240E9C24"/>
    <w:lvl w:ilvl="0" w:tplc="76B2FD38">
      <w:start w:val="1"/>
      <w:numFmt w:val="lowerLetter"/>
      <w:lvlText w:val="%1)"/>
      <w:lvlJc w:val="left"/>
      <w:pPr>
        <w:ind w:left="1233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D9B224C4">
      <w:numFmt w:val="bullet"/>
      <w:lvlText w:val="•"/>
      <w:lvlJc w:val="left"/>
      <w:pPr>
        <w:ind w:left="2144" w:hanging="425"/>
      </w:pPr>
      <w:rPr>
        <w:rFonts w:hint="default"/>
        <w:lang w:val="tr-TR" w:eastAsia="tr-TR" w:bidi="tr-TR"/>
      </w:rPr>
    </w:lvl>
    <w:lvl w:ilvl="2" w:tplc="C02CDBB8">
      <w:numFmt w:val="bullet"/>
      <w:lvlText w:val="•"/>
      <w:lvlJc w:val="left"/>
      <w:pPr>
        <w:ind w:left="3049" w:hanging="425"/>
      </w:pPr>
      <w:rPr>
        <w:rFonts w:hint="default"/>
        <w:lang w:val="tr-TR" w:eastAsia="tr-TR" w:bidi="tr-TR"/>
      </w:rPr>
    </w:lvl>
    <w:lvl w:ilvl="3" w:tplc="C1AA24A2">
      <w:numFmt w:val="bullet"/>
      <w:lvlText w:val="•"/>
      <w:lvlJc w:val="left"/>
      <w:pPr>
        <w:ind w:left="3953" w:hanging="425"/>
      </w:pPr>
      <w:rPr>
        <w:rFonts w:hint="default"/>
        <w:lang w:val="tr-TR" w:eastAsia="tr-TR" w:bidi="tr-TR"/>
      </w:rPr>
    </w:lvl>
    <w:lvl w:ilvl="4" w:tplc="C82E3ABA">
      <w:numFmt w:val="bullet"/>
      <w:lvlText w:val="•"/>
      <w:lvlJc w:val="left"/>
      <w:pPr>
        <w:ind w:left="4858" w:hanging="425"/>
      </w:pPr>
      <w:rPr>
        <w:rFonts w:hint="default"/>
        <w:lang w:val="tr-TR" w:eastAsia="tr-TR" w:bidi="tr-TR"/>
      </w:rPr>
    </w:lvl>
    <w:lvl w:ilvl="5" w:tplc="39468858">
      <w:numFmt w:val="bullet"/>
      <w:lvlText w:val="•"/>
      <w:lvlJc w:val="left"/>
      <w:pPr>
        <w:ind w:left="5763" w:hanging="425"/>
      </w:pPr>
      <w:rPr>
        <w:rFonts w:hint="default"/>
        <w:lang w:val="tr-TR" w:eastAsia="tr-TR" w:bidi="tr-TR"/>
      </w:rPr>
    </w:lvl>
    <w:lvl w:ilvl="6" w:tplc="3600E8F6">
      <w:numFmt w:val="bullet"/>
      <w:lvlText w:val="•"/>
      <w:lvlJc w:val="left"/>
      <w:pPr>
        <w:ind w:left="6667" w:hanging="425"/>
      </w:pPr>
      <w:rPr>
        <w:rFonts w:hint="default"/>
        <w:lang w:val="tr-TR" w:eastAsia="tr-TR" w:bidi="tr-TR"/>
      </w:rPr>
    </w:lvl>
    <w:lvl w:ilvl="7" w:tplc="B0123C88">
      <w:numFmt w:val="bullet"/>
      <w:lvlText w:val="•"/>
      <w:lvlJc w:val="left"/>
      <w:pPr>
        <w:ind w:left="7572" w:hanging="425"/>
      </w:pPr>
      <w:rPr>
        <w:rFonts w:hint="default"/>
        <w:lang w:val="tr-TR" w:eastAsia="tr-TR" w:bidi="tr-TR"/>
      </w:rPr>
    </w:lvl>
    <w:lvl w:ilvl="8" w:tplc="BEA441BA">
      <w:numFmt w:val="bullet"/>
      <w:lvlText w:val="•"/>
      <w:lvlJc w:val="left"/>
      <w:pPr>
        <w:ind w:left="8477" w:hanging="425"/>
      </w:pPr>
      <w:rPr>
        <w:rFonts w:hint="default"/>
        <w:lang w:val="tr-TR" w:eastAsia="tr-TR" w:bidi="tr-TR"/>
      </w:rPr>
    </w:lvl>
  </w:abstractNum>
  <w:abstractNum w:abstractNumId="1" w15:restartNumberingAfterBreak="0">
    <w:nsid w:val="49DE2004"/>
    <w:multiLevelType w:val="hybridMultilevel"/>
    <w:tmpl w:val="E8D4B172"/>
    <w:lvl w:ilvl="0" w:tplc="1346C83A">
      <w:start w:val="2"/>
      <w:numFmt w:val="decimal"/>
      <w:lvlText w:val="(%1)"/>
      <w:lvlJc w:val="left"/>
      <w:pPr>
        <w:ind w:left="10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16FE7152">
      <w:numFmt w:val="bullet"/>
      <w:lvlText w:val="•"/>
      <w:lvlJc w:val="left"/>
      <w:pPr>
        <w:ind w:left="1118" w:hanging="370"/>
      </w:pPr>
      <w:rPr>
        <w:rFonts w:hint="default"/>
        <w:lang w:val="tr-TR" w:eastAsia="tr-TR" w:bidi="tr-TR"/>
      </w:rPr>
    </w:lvl>
    <w:lvl w:ilvl="2" w:tplc="C0889E78">
      <w:numFmt w:val="bullet"/>
      <w:lvlText w:val="•"/>
      <w:lvlJc w:val="left"/>
      <w:pPr>
        <w:ind w:left="2137" w:hanging="370"/>
      </w:pPr>
      <w:rPr>
        <w:rFonts w:hint="default"/>
        <w:lang w:val="tr-TR" w:eastAsia="tr-TR" w:bidi="tr-TR"/>
      </w:rPr>
    </w:lvl>
    <w:lvl w:ilvl="3" w:tplc="05F86DEE">
      <w:numFmt w:val="bullet"/>
      <w:lvlText w:val="•"/>
      <w:lvlJc w:val="left"/>
      <w:pPr>
        <w:ind w:left="3155" w:hanging="370"/>
      </w:pPr>
      <w:rPr>
        <w:rFonts w:hint="default"/>
        <w:lang w:val="tr-TR" w:eastAsia="tr-TR" w:bidi="tr-TR"/>
      </w:rPr>
    </w:lvl>
    <w:lvl w:ilvl="4" w:tplc="B8AC1BFA">
      <w:numFmt w:val="bullet"/>
      <w:lvlText w:val="•"/>
      <w:lvlJc w:val="left"/>
      <w:pPr>
        <w:ind w:left="4174" w:hanging="370"/>
      </w:pPr>
      <w:rPr>
        <w:rFonts w:hint="default"/>
        <w:lang w:val="tr-TR" w:eastAsia="tr-TR" w:bidi="tr-TR"/>
      </w:rPr>
    </w:lvl>
    <w:lvl w:ilvl="5" w:tplc="8F9A8BAC">
      <w:numFmt w:val="bullet"/>
      <w:lvlText w:val="•"/>
      <w:lvlJc w:val="left"/>
      <w:pPr>
        <w:ind w:left="5193" w:hanging="370"/>
      </w:pPr>
      <w:rPr>
        <w:rFonts w:hint="default"/>
        <w:lang w:val="tr-TR" w:eastAsia="tr-TR" w:bidi="tr-TR"/>
      </w:rPr>
    </w:lvl>
    <w:lvl w:ilvl="6" w:tplc="B0482A9A">
      <w:numFmt w:val="bullet"/>
      <w:lvlText w:val="•"/>
      <w:lvlJc w:val="left"/>
      <w:pPr>
        <w:ind w:left="6211" w:hanging="370"/>
      </w:pPr>
      <w:rPr>
        <w:rFonts w:hint="default"/>
        <w:lang w:val="tr-TR" w:eastAsia="tr-TR" w:bidi="tr-TR"/>
      </w:rPr>
    </w:lvl>
    <w:lvl w:ilvl="7" w:tplc="CC40311E">
      <w:numFmt w:val="bullet"/>
      <w:lvlText w:val="•"/>
      <w:lvlJc w:val="left"/>
      <w:pPr>
        <w:ind w:left="7230" w:hanging="370"/>
      </w:pPr>
      <w:rPr>
        <w:rFonts w:hint="default"/>
        <w:lang w:val="tr-TR" w:eastAsia="tr-TR" w:bidi="tr-TR"/>
      </w:rPr>
    </w:lvl>
    <w:lvl w:ilvl="8" w:tplc="C6926AF6">
      <w:numFmt w:val="bullet"/>
      <w:lvlText w:val="•"/>
      <w:lvlJc w:val="left"/>
      <w:pPr>
        <w:ind w:left="8249" w:hanging="370"/>
      </w:pPr>
      <w:rPr>
        <w:rFonts w:hint="default"/>
        <w:lang w:val="tr-TR" w:eastAsia="tr-TR" w:bidi="tr-TR"/>
      </w:rPr>
    </w:lvl>
  </w:abstractNum>
  <w:abstractNum w:abstractNumId="2" w15:restartNumberingAfterBreak="0">
    <w:nsid w:val="76520627"/>
    <w:multiLevelType w:val="hybridMultilevel"/>
    <w:tmpl w:val="6CE8876E"/>
    <w:lvl w:ilvl="0" w:tplc="E5A69BBE">
      <w:start w:val="2"/>
      <w:numFmt w:val="decimal"/>
      <w:lvlText w:val="(%1)"/>
      <w:lvlJc w:val="left"/>
      <w:pPr>
        <w:ind w:left="100" w:hanging="39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tr-TR" w:eastAsia="tr-TR" w:bidi="tr-TR"/>
      </w:rPr>
    </w:lvl>
    <w:lvl w:ilvl="1" w:tplc="57E0B6DC">
      <w:numFmt w:val="bullet"/>
      <w:lvlText w:val="•"/>
      <w:lvlJc w:val="left"/>
      <w:pPr>
        <w:ind w:left="1118" w:hanging="394"/>
      </w:pPr>
      <w:rPr>
        <w:rFonts w:hint="default"/>
        <w:lang w:val="tr-TR" w:eastAsia="tr-TR" w:bidi="tr-TR"/>
      </w:rPr>
    </w:lvl>
    <w:lvl w:ilvl="2" w:tplc="973A3AAA">
      <w:numFmt w:val="bullet"/>
      <w:lvlText w:val="•"/>
      <w:lvlJc w:val="left"/>
      <w:pPr>
        <w:ind w:left="2137" w:hanging="394"/>
      </w:pPr>
      <w:rPr>
        <w:rFonts w:hint="default"/>
        <w:lang w:val="tr-TR" w:eastAsia="tr-TR" w:bidi="tr-TR"/>
      </w:rPr>
    </w:lvl>
    <w:lvl w:ilvl="3" w:tplc="F93286A4">
      <w:numFmt w:val="bullet"/>
      <w:lvlText w:val="•"/>
      <w:lvlJc w:val="left"/>
      <w:pPr>
        <w:ind w:left="3155" w:hanging="394"/>
      </w:pPr>
      <w:rPr>
        <w:rFonts w:hint="default"/>
        <w:lang w:val="tr-TR" w:eastAsia="tr-TR" w:bidi="tr-TR"/>
      </w:rPr>
    </w:lvl>
    <w:lvl w:ilvl="4" w:tplc="DA72C422">
      <w:numFmt w:val="bullet"/>
      <w:lvlText w:val="•"/>
      <w:lvlJc w:val="left"/>
      <w:pPr>
        <w:ind w:left="4174" w:hanging="394"/>
      </w:pPr>
      <w:rPr>
        <w:rFonts w:hint="default"/>
        <w:lang w:val="tr-TR" w:eastAsia="tr-TR" w:bidi="tr-TR"/>
      </w:rPr>
    </w:lvl>
    <w:lvl w:ilvl="5" w:tplc="F4DC6340">
      <w:numFmt w:val="bullet"/>
      <w:lvlText w:val="•"/>
      <w:lvlJc w:val="left"/>
      <w:pPr>
        <w:ind w:left="5193" w:hanging="394"/>
      </w:pPr>
      <w:rPr>
        <w:rFonts w:hint="default"/>
        <w:lang w:val="tr-TR" w:eastAsia="tr-TR" w:bidi="tr-TR"/>
      </w:rPr>
    </w:lvl>
    <w:lvl w:ilvl="6" w:tplc="0722E980">
      <w:numFmt w:val="bullet"/>
      <w:lvlText w:val="•"/>
      <w:lvlJc w:val="left"/>
      <w:pPr>
        <w:ind w:left="6211" w:hanging="394"/>
      </w:pPr>
      <w:rPr>
        <w:rFonts w:hint="default"/>
        <w:lang w:val="tr-TR" w:eastAsia="tr-TR" w:bidi="tr-TR"/>
      </w:rPr>
    </w:lvl>
    <w:lvl w:ilvl="7" w:tplc="520292FE">
      <w:numFmt w:val="bullet"/>
      <w:lvlText w:val="•"/>
      <w:lvlJc w:val="left"/>
      <w:pPr>
        <w:ind w:left="7230" w:hanging="394"/>
      </w:pPr>
      <w:rPr>
        <w:rFonts w:hint="default"/>
        <w:lang w:val="tr-TR" w:eastAsia="tr-TR" w:bidi="tr-TR"/>
      </w:rPr>
    </w:lvl>
    <w:lvl w:ilvl="8" w:tplc="8AB0FC16">
      <w:numFmt w:val="bullet"/>
      <w:lvlText w:val="•"/>
      <w:lvlJc w:val="left"/>
      <w:pPr>
        <w:ind w:left="8249" w:hanging="39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3F"/>
    <w:rsid w:val="00185D3F"/>
    <w:rsid w:val="002D657C"/>
    <w:rsid w:val="00A7748C"/>
    <w:rsid w:val="00C17487"/>
    <w:rsid w:val="00D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5E81"/>
  <w15:docId w15:val="{A1668522-78BE-4DD0-ABD6-BAEDCE1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3" w:line="274" w:lineRule="exact"/>
      <w:ind w:left="80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 w:firstLine="70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-2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</dc:title>
  <dc:creator>Admin</dc:creator>
  <cp:lastModifiedBy>GÜNEŞ</cp:lastModifiedBy>
  <cp:revision>2</cp:revision>
  <dcterms:created xsi:type="dcterms:W3CDTF">2021-11-08T12:43:00Z</dcterms:created>
  <dcterms:modified xsi:type="dcterms:W3CDTF">2021-11-08T12:43:00Z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