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A7" w14:textId="0B57194F" w:rsidR="00A44129" w:rsidRDefault="00A44129">
      <w:pPr>
        <w:pStyle w:val="GvdeMetni"/>
        <w:spacing w:before="4"/>
        <w:ind w:left="0"/>
        <w:rPr>
          <w:sz w:val="20"/>
        </w:rPr>
      </w:pPr>
    </w:p>
    <w:p w14:paraId="2772A625" w14:textId="745CA6FD" w:rsidR="00993066" w:rsidRDefault="00993066">
      <w:pPr>
        <w:pStyle w:val="GvdeMetni"/>
        <w:spacing w:before="4"/>
        <w:ind w:left="0"/>
        <w:rPr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94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3738"/>
        <w:gridCol w:w="1843"/>
        <w:gridCol w:w="1975"/>
      </w:tblGrid>
      <w:tr w:rsidR="00993066" w:rsidRPr="004C4A7F" w14:paraId="77673307" w14:textId="77777777" w:rsidTr="00993066">
        <w:trPr>
          <w:trHeight w:val="19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3F659BC0" w14:textId="125A2B12" w:rsidR="00993066" w:rsidRPr="004C4A7F" w:rsidRDefault="002373C1" w:rsidP="006B4098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4662691C" wp14:editId="60803C2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57785</wp:posOffset>
                  </wp:positionV>
                  <wp:extent cx="1038225" cy="79248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814F9C1" w14:textId="5E738FA2" w:rsidR="00993066" w:rsidRPr="004C4A7F" w:rsidRDefault="00993066" w:rsidP="006B4098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C3C95C9" w14:textId="77777777" w:rsidR="00993066" w:rsidRDefault="00993066" w:rsidP="002373C1">
            <w:pPr>
              <w:ind w:right="104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</w:p>
          <w:p w14:paraId="17BE3543" w14:textId="1B8D066F" w:rsidR="00993066" w:rsidRPr="004C4A7F" w:rsidRDefault="00993066" w:rsidP="00993066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DÖNER SERMAYE İŞLETMESİ YÖNETMELİĞİ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FE23" w14:textId="77777777" w:rsidR="00993066" w:rsidRPr="002373C1" w:rsidRDefault="00993066" w:rsidP="006B4098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DB8AC2" w14:textId="79B0537F" w:rsidR="00993066" w:rsidRPr="002373C1" w:rsidRDefault="002373C1" w:rsidP="002373C1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373C1">
              <w:rPr>
                <w:rFonts w:eastAsia="Calibri"/>
                <w:sz w:val="20"/>
                <w:szCs w:val="20"/>
                <w:lang w:eastAsia="tr-TR" w:bidi="tr-TR"/>
              </w:rPr>
              <w:t>EYS-YNT-015</w:t>
            </w:r>
          </w:p>
        </w:tc>
      </w:tr>
      <w:tr w:rsidR="00993066" w:rsidRPr="004C4A7F" w14:paraId="7FFEF537" w14:textId="77777777" w:rsidTr="00993066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D1D8BCD" w14:textId="77777777" w:rsidR="00993066" w:rsidRPr="004C4A7F" w:rsidRDefault="00993066" w:rsidP="006B4098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18925D9" w14:textId="77777777" w:rsidR="00993066" w:rsidRPr="004C4A7F" w:rsidRDefault="00993066" w:rsidP="006B4098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984E" w14:textId="77777777" w:rsidR="00993066" w:rsidRPr="002373C1" w:rsidRDefault="00993066" w:rsidP="006B4098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488ABB" w14:textId="7C802692" w:rsidR="00993066" w:rsidRPr="002373C1" w:rsidRDefault="002373C1" w:rsidP="002373C1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="00993066" w:rsidRPr="002373C1">
              <w:rPr>
                <w:rFonts w:eastAsia="Calibri"/>
                <w:sz w:val="20"/>
                <w:szCs w:val="20"/>
                <w:lang w:eastAsia="tr-TR" w:bidi="tr-TR"/>
              </w:rPr>
              <w:t>10.11.2021</w:t>
            </w:r>
          </w:p>
        </w:tc>
      </w:tr>
      <w:tr w:rsidR="00993066" w:rsidRPr="004C4A7F" w14:paraId="4C87D3B2" w14:textId="77777777" w:rsidTr="00993066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312324B" w14:textId="77777777" w:rsidR="00993066" w:rsidRPr="004C4A7F" w:rsidRDefault="00993066" w:rsidP="006B4098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C205611" w14:textId="77777777" w:rsidR="00993066" w:rsidRPr="004C4A7F" w:rsidRDefault="00993066" w:rsidP="006B4098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9688" w14:textId="77777777" w:rsidR="00993066" w:rsidRPr="002373C1" w:rsidRDefault="00993066" w:rsidP="006B4098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A59667" w14:textId="5B549D8F" w:rsidR="00993066" w:rsidRPr="002373C1" w:rsidRDefault="002373C1" w:rsidP="002373C1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="00993066" w:rsidRPr="002373C1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993066" w:rsidRPr="004C4A7F" w14:paraId="108F4794" w14:textId="77777777" w:rsidTr="00993066">
        <w:trPr>
          <w:trHeight w:val="195"/>
        </w:trPr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1D12B2F" w14:textId="77777777" w:rsidR="00993066" w:rsidRPr="004C4A7F" w:rsidRDefault="00993066" w:rsidP="006B4098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072638C" w14:textId="77777777" w:rsidR="00993066" w:rsidRPr="004C4A7F" w:rsidRDefault="00993066" w:rsidP="006B4098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B18C" w14:textId="77777777" w:rsidR="00993066" w:rsidRPr="002373C1" w:rsidRDefault="00993066" w:rsidP="006B4098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E530D6" w14:textId="582D4DCA" w:rsidR="00993066" w:rsidRPr="002373C1" w:rsidRDefault="002373C1" w:rsidP="002373C1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="00993066" w:rsidRPr="002373C1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993066" w:rsidRPr="004C4A7F" w14:paraId="511C5129" w14:textId="77777777" w:rsidTr="00993066">
        <w:trPr>
          <w:trHeight w:val="464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B9B754" w14:textId="77777777" w:rsidR="00993066" w:rsidRPr="004C4A7F" w:rsidRDefault="00993066" w:rsidP="006B4098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BB050E" w14:textId="77777777" w:rsidR="00993066" w:rsidRPr="004C4A7F" w:rsidRDefault="00993066" w:rsidP="006B4098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BDC75F" w14:textId="77777777" w:rsidR="00993066" w:rsidRPr="002373C1" w:rsidRDefault="00993066" w:rsidP="006B4098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</w:p>
          <w:p w14:paraId="1E9666D3" w14:textId="77777777" w:rsidR="00993066" w:rsidRPr="002373C1" w:rsidRDefault="00993066" w:rsidP="006B4098">
            <w:pPr>
              <w:spacing w:before="25" w:line="189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373C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AF361EE" w14:textId="77777777" w:rsidR="00993066" w:rsidRPr="002373C1" w:rsidRDefault="00993066" w:rsidP="006B4098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</w:p>
          <w:p w14:paraId="3600A08F" w14:textId="5D0E2C3A" w:rsidR="00993066" w:rsidRPr="002373C1" w:rsidRDefault="002373C1" w:rsidP="002373C1">
            <w:pPr>
              <w:spacing w:line="192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373C1">
              <w:rPr>
                <w:rFonts w:eastAsia="Calibri"/>
                <w:sz w:val="20"/>
                <w:szCs w:val="20"/>
                <w:lang w:eastAsia="tr-TR" w:bidi="tr-TR"/>
              </w:rPr>
              <w:t>2</w:t>
            </w:r>
          </w:p>
        </w:tc>
      </w:tr>
    </w:tbl>
    <w:p w14:paraId="02CA3343" w14:textId="77777777" w:rsidR="00A44129" w:rsidRDefault="00A44129">
      <w:pPr>
        <w:pStyle w:val="GvdeMetni"/>
        <w:spacing w:before="2"/>
        <w:ind w:left="0"/>
        <w:rPr>
          <w:b/>
          <w:sz w:val="16"/>
        </w:rPr>
      </w:pPr>
    </w:p>
    <w:p w14:paraId="221D542E" w14:textId="77777777" w:rsidR="00A44129" w:rsidRDefault="002373C1">
      <w:pPr>
        <w:spacing w:before="90"/>
        <w:ind w:left="2666" w:right="2666"/>
        <w:jc w:val="center"/>
        <w:rPr>
          <w:b/>
          <w:sz w:val="24"/>
        </w:rPr>
      </w:pPr>
      <w:r>
        <w:rPr>
          <w:b/>
          <w:color w:val="1C283C"/>
          <w:sz w:val="24"/>
        </w:rPr>
        <w:t>BİRİNCİ BÖLÜM</w:t>
      </w:r>
    </w:p>
    <w:p w14:paraId="5A331D16" w14:textId="77777777" w:rsidR="00A44129" w:rsidRDefault="002373C1">
      <w:pPr>
        <w:ind w:left="2666" w:right="2670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Kapsam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Dayanak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Tanımlar</w:t>
      </w:r>
      <w:proofErr w:type="spellEnd"/>
    </w:p>
    <w:p w14:paraId="75EFC48F" w14:textId="77777777" w:rsidR="00A44129" w:rsidRDefault="002373C1">
      <w:pPr>
        <w:ind w:left="896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</w:p>
    <w:p w14:paraId="0A548D8D" w14:textId="1FB1ABEE" w:rsidR="00A44129" w:rsidRDefault="002373C1">
      <w:pPr>
        <w:pStyle w:val="GvdeMetni"/>
        <w:ind w:right="117" w:firstLine="787"/>
        <w:jc w:val="both"/>
      </w:pPr>
      <w:r>
        <w:rPr>
          <w:b/>
          <w:color w:val="1C283C"/>
        </w:rPr>
        <w:t xml:space="preserve">MADDE 1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Yönetmeliğin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Döner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Sermaye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İşletmesinin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sermaye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limitlerine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düzenlemektir</w:t>
      </w:r>
      <w:proofErr w:type="spellEnd"/>
      <w:r>
        <w:rPr>
          <w:color w:val="1C283C"/>
        </w:rPr>
        <w:t>.</w:t>
      </w:r>
    </w:p>
    <w:p w14:paraId="68C70767" w14:textId="77777777" w:rsidR="00A44129" w:rsidRDefault="002373C1">
      <w:pPr>
        <w:pStyle w:val="Balk1"/>
        <w:spacing w:line="274" w:lineRule="exact"/>
      </w:pPr>
      <w:proofErr w:type="spellStart"/>
      <w:r>
        <w:rPr>
          <w:color w:val="1C283C"/>
        </w:rPr>
        <w:t>Kapsam</w:t>
      </w:r>
      <w:proofErr w:type="spellEnd"/>
    </w:p>
    <w:p w14:paraId="3673E890" w14:textId="2FDC2B39" w:rsidR="00A44129" w:rsidRDefault="002373C1">
      <w:pPr>
        <w:pStyle w:val="GvdeMetni"/>
        <w:ind w:firstLine="868"/>
      </w:pPr>
      <w:r>
        <w:rPr>
          <w:b/>
          <w:color w:val="1C283C"/>
        </w:rPr>
        <w:t xml:space="preserve">MADDE 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Döner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Sermaye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İş</w:t>
      </w:r>
      <w:r>
        <w:rPr>
          <w:color w:val="1C283C"/>
        </w:rPr>
        <w:t>letmesinin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işleyiş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kapsar</w:t>
      </w:r>
      <w:proofErr w:type="spellEnd"/>
      <w:r>
        <w:rPr>
          <w:color w:val="1C283C"/>
        </w:rPr>
        <w:t>.</w:t>
      </w:r>
    </w:p>
    <w:p w14:paraId="17ADB69B" w14:textId="77777777" w:rsidR="00A44129" w:rsidRDefault="002373C1">
      <w:pPr>
        <w:pStyle w:val="Balk1"/>
        <w:spacing w:before="4" w:line="274" w:lineRule="exact"/>
      </w:pPr>
      <w:proofErr w:type="spellStart"/>
      <w:r>
        <w:rPr>
          <w:color w:val="1C283C"/>
        </w:rPr>
        <w:t>Dayanak</w:t>
      </w:r>
      <w:proofErr w:type="spellEnd"/>
    </w:p>
    <w:p w14:paraId="7E43070F" w14:textId="77777777" w:rsidR="00A44129" w:rsidRDefault="002373C1">
      <w:pPr>
        <w:pStyle w:val="GvdeMetni"/>
        <w:ind w:firstLine="823"/>
      </w:pPr>
      <w:r>
        <w:rPr>
          <w:b/>
          <w:color w:val="1C283C"/>
        </w:rPr>
        <w:t xml:space="preserve">MADDE 3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4/11/1981 </w:t>
      </w:r>
      <w:proofErr w:type="spellStart"/>
      <w:r>
        <w:rPr>
          <w:color w:val="1C283C"/>
        </w:rPr>
        <w:t>tarihli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14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58 </w:t>
      </w:r>
      <w:proofErr w:type="spellStart"/>
      <w:r>
        <w:rPr>
          <w:color w:val="1C283C"/>
        </w:rPr>
        <w:t>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dayanılarak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hazırlanmıştır</w:t>
      </w:r>
      <w:proofErr w:type="spellEnd"/>
      <w:r>
        <w:rPr>
          <w:color w:val="1C283C"/>
        </w:rPr>
        <w:t>.</w:t>
      </w:r>
    </w:p>
    <w:p w14:paraId="6C72D7D6" w14:textId="77777777" w:rsidR="00A44129" w:rsidRDefault="002373C1">
      <w:pPr>
        <w:pStyle w:val="Balk1"/>
        <w:spacing w:before="2" w:line="274" w:lineRule="exact"/>
      </w:pPr>
      <w:proofErr w:type="spellStart"/>
      <w:r>
        <w:rPr>
          <w:color w:val="1C283C"/>
        </w:rPr>
        <w:t>Tanımlar</w:t>
      </w:r>
      <w:proofErr w:type="spellEnd"/>
    </w:p>
    <w:p w14:paraId="0CCF23A8" w14:textId="77777777" w:rsidR="00A44129" w:rsidRDefault="002373C1">
      <w:pPr>
        <w:spacing w:line="274" w:lineRule="exact"/>
        <w:ind w:left="896"/>
        <w:rPr>
          <w:sz w:val="24"/>
        </w:rPr>
      </w:pPr>
      <w:r>
        <w:rPr>
          <w:b/>
          <w:color w:val="1C283C"/>
          <w:sz w:val="24"/>
        </w:rPr>
        <w:t xml:space="preserve">MADDE 4 – </w:t>
      </w:r>
      <w:r>
        <w:rPr>
          <w:color w:val="1C283C"/>
          <w:sz w:val="24"/>
        </w:rPr>
        <w:t xml:space="preserve">(1) Bu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geçen</w:t>
      </w:r>
      <w:proofErr w:type="spellEnd"/>
      <w:r>
        <w:rPr>
          <w:color w:val="1C283C"/>
          <w:sz w:val="24"/>
        </w:rPr>
        <w:t>,</w:t>
      </w:r>
    </w:p>
    <w:p w14:paraId="0197A1B4" w14:textId="6FE0AB3D" w:rsidR="00A44129" w:rsidRDefault="002373C1">
      <w:pPr>
        <w:pStyle w:val="ListeParagraf"/>
        <w:numPr>
          <w:ilvl w:val="0"/>
          <w:numId w:val="2"/>
        </w:numPr>
        <w:tabs>
          <w:tab w:val="left" w:pos="1144"/>
        </w:tabs>
        <w:ind w:hanging="248"/>
        <w:rPr>
          <w:sz w:val="24"/>
        </w:rPr>
      </w:pPr>
      <w:proofErr w:type="spellStart"/>
      <w:r>
        <w:rPr>
          <w:color w:val="1C283C"/>
          <w:sz w:val="24"/>
        </w:rPr>
        <w:t>İşletme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Döner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Sermaye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İşletmesini</w:t>
      </w:r>
      <w:proofErr w:type="spellEnd"/>
      <w:r>
        <w:rPr>
          <w:color w:val="1C283C"/>
          <w:sz w:val="24"/>
        </w:rPr>
        <w:t>,</w:t>
      </w:r>
    </w:p>
    <w:p w14:paraId="31231650" w14:textId="396B343B" w:rsidR="00A44129" w:rsidRDefault="002373C1">
      <w:pPr>
        <w:pStyle w:val="ListeParagraf"/>
        <w:numPr>
          <w:ilvl w:val="0"/>
          <w:numId w:val="2"/>
        </w:numPr>
        <w:tabs>
          <w:tab w:val="left" w:pos="1156"/>
        </w:tabs>
        <w:ind w:left="1155" w:hanging="260"/>
        <w:rPr>
          <w:sz w:val="24"/>
        </w:rPr>
      </w:pP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Rektörünü</w:t>
      </w:r>
      <w:proofErr w:type="spellEnd"/>
      <w:r>
        <w:rPr>
          <w:color w:val="1C283C"/>
          <w:sz w:val="24"/>
        </w:rPr>
        <w:t>,</w:t>
      </w:r>
    </w:p>
    <w:p w14:paraId="2A1BBD14" w14:textId="1470C495" w:rsidR="00A44129" w:rsidRDefault="002373C1">
      <w:pPr>
        <w:pStyle w:val="ListeParagraf"/>
        <w:numPr>
          <w:ilvl w:val="0"/>
          <w:numId w:val="2"/>
        </w:numPr>
        <w:tabs>
          <w:tab w:val="left" w:pos="1142"/>
        </w:tabs>
        <w:ind w:left="1141" w:hanging="246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</w:t>
      </w:r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Üniversitesini</w:t>
      </w:r>
      <w:proofErr w:type="spellEnd"/>
      <w:r>
        <w:rPr>
          <w:color w:val="1C283C"/>
          <w:sz w:val="24"/>
        </w:rPr>
        <w:t>,</w:t>
      </w:r>
    </w:p>
    <w:p w14:paraId="05316839" w14:textId="3BF7BC17" w:rsidR="00A44129" w:rsidRDefault="002373C1">
      <w:pPr>
        <w:pStyle w:val="GvdeMetni"/>
        <w:ind w:left="896" w:right="1988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: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ifade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>.</w:t>
      </w:r>
    </w:p>
    <w:p w14:paraId="5377F429" w14:textId="77777777" w:rsidR="00A44129" w:rsidRDefault="002373C1">
      <w:pPr>
        <w:pStyle w:val="Balk1"/>
        <w:spacing w:before="5"/>
        <w:ind w:left="2666" w:right="2667"/>
        <w:jc w:val="center"/>
      </w:pPr>
      <w:r>
        <w:rPr>
          <w:color w:val="1C283C"/>
        </w:rPr>
        <w:t>İKİNCİ BÖLÜM</w:t>
      </w:r>
    </w:p>
    <w:p w14:paraId="3BDEB9D9" w14:textId="77777777" w:rsidR="00A44129" w:rsidRDefault="002373C1">
      <w:pPr>
        <w:ind w:left="896" w:right="1765" w:firstLine="864"/>
        <w:jc w:val="both"/>
        <w:rPr>
          <w:b/>
          <w:sz w:val="24"/>
        </w:rPr>
      </w:pPr>
      <w:proofErr w:type="spellStart"/>
      <w:r>
        <w:rPr>
          <w:b/>
          <w:color w:val="1C283C"/>
          <w:sz w:val="24"/>
        </w:rPr>
        <w:t>Faaliyet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Alanları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Yöneti</w:t>
      </w:r>
      <w:r>
        <w:rPr>
          <w:b/>
          <w:color w:val="1C283C"/>
          <w:sz w:val="24"/>
        </w:rPr>
        <w:t>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Mali </w:t>
      </w:r>
      <w:proofErr w:type="spellStart"/>
      <w:r>
        <w:rPr>
          <w:b/>
          <w:color w:val="1C283C"/>
          <w:sz w:val="24"/>
        </w:rPr>
        <w:t>Hükümler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Faaliyet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alanları</w:t>
      </w:r>
      <w:proofErr w:type="spellEnd"/>
    </w:p>
    <w:p w14:paraId="6A8CA008" w14:textId="77777777" w:rsidR="00A44129" w:rsidRDefault="002373C1">
      <w:pPr>
        <w:pStyle w:val="GvdeMetni"/>
        <w:ind w:right="114" w:firstLine="796"/>
        <w:jc w:val="both"/>
      </w:pPr>
      <w:r>
        <w:rPr>
          <w:b/>
          <w:color w:val="1C283C"/>
        </w:rPr>
        <w:t xml:space="preserve">MADDE 5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İşletme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çalışmaları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sırasında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bunlara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katkıda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uygulamayı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planda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tutmak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şartıyla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aksatmayacak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şekilde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aşağıda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belirtilen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yapar</w:t>
      </w:r>
      <w:proofErr w:type="spellEnd"/>
      <w:r>
        <w:rPr>
          <w:color w:val="1C283C"/>
        </w:rPr>
        <w:t>;</w:t>
      </w:r>
    </w:p>
    <w:p w14:paraId="2FE449D2" w14:textId="77777777" w:rsidR="00A44129" w:rsidRDefault="002373C1">
      <w:pPr>
        <w:pStyle w:val="ListeParagraf"/>
        <w:numPr>
          <w:ilvl w:val="0"/>
          <w:numId w:val="1"/>
        </w:numPr>
        <w:tabs>
          <w:tab w:val="left" w:pos="1165"/>
        </w:tabs>
        <w:ind w:right="117" w:firstLine="791"/>
        <w:jc w:val="both"/>
        <w:rPr>
          <w:sz w:val="24"/>
        </w:rPr>
      </w:pPr>
      <w:proofErr w:type="spellStart"/>
      <w:r>
        <w:rPr>
          <w:color w:val="1C283C"/>
          <w:sz w:val="24"/>
        </w:rPr>
        <w:t>Yükseköğretim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dışındaki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kamu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gerçek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tüzel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kişiler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istenilecek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proje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kurslar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seminer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ko</w:t>
      </w:r>
      <w:r>
        <w:rPr>
          <w:color w:val="1C283C"/>
          <w:sz w:val="24"/>
        </w:rPr>
        <w:t>nferans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sempozyum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>,</w:t>
      </w:r>
    </w:p>
    <w:p w14:paraId="63F0BAE1" w14:textId="77777777" w:rsidR="00A44129" w:rsidRDefault="002373C1">
      <w:pPr>
        <w:pStyle w:val="ListeParagraf"/>
        <w:numPr>
          <w:ilvl w:val="0"/>
          <w:numId w:val="1"/>
        </w:numPr>
        <w:tabs>
          <w:tab w:val="left" w:pos="1257"/>
        </w:tabs>
        <w:ind w:right="117" w:firstLine="830"/>
        <w:jc w:val="both"/>
        <w:rPr>
          <w:sz w:val="24"/>
        </w:rPr>
      </w:pP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danışmanlık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analiz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sentez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bakım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onarım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değerlendirmesi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organizasyonu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deneyle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kurumsal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bunlarla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işletme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hesapları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fizibilite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raporları</w:t>
      </w:r>
      <w:proofErr w:type="spellEnd"/>
      <w:r>
        <w:rPr>
          <w:color w:val="1C283C"/>
          <w:spacing w:val="-10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>,</w:t>
      </w:r>
    </w:p>
    <w:p w14:paraId="253E2F6B" w14:textId="77777777" w:rsidR="00A44129" w:rsidRDefault="002373C1">
      <w:pPr>
        <w:pStyle w:val="ListeParagraf"/>
        <w:numPr>
          <w:ilvl w:val="0"/>
          <w:numId w:val="1"/>
        </w:numPr>
        <w:tabs>
          <w:tab w:val="left" w:pos="1242"/>
        </w:tabs>
        <w:ind w:right="118" w:firstLine="830"/>
        <w:jc w:val="both"/>
        <w:rPr>
          <w:sz w:val="24"/>
        </w:rPr>
      </w:pPr>
      <w:proofErr w:type="spellStart"/>
      <w:r>
        <w:rPr>
          <w:color w:val="1C283C"/>
          <w:sz w:val="24"/>
        </w:rPr>
        <w:t>Klinikler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poliklinikler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ameliyathaneler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laboratuvarlarda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yapılacak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çeşit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tetkik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tedavi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tahlil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ameliyat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bakım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,</w:t>
      </w:r>
    </w:p>
    <w:p w14:paraId="5DADE201" w14:textId="77777777" w:rsidR="00A44129" w:rsidRDefault="002373C1">
      <w:pPr>
        <w:pStyle w:val="GvdeMetni"/>
        <w:ind w:right="120" w:firstLine="801"/>
        <w:jc w:val="both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sınırlı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mal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hizmet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üretiminde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elde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ürünleri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değerlendirmek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tanıtmak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pazarlamak</w:t>
      </w:r>
      <w:proofErr w:type="spellEnd"/>
      <w:r>
        <w:rPr>
          <w:color w:val="1C283C"/>
        </w:rPr>
        <w:t>,</w:t>
      </w:r>
    </w:p>
    <w:p w14:paraId="72C41ACD" w14:textId="77777777" w:rsidR="00A44129" w:rsidRDefault="002373C1">
      <w:pPr>
        <w:pStyle w:val="ListeParagraf"/>
        <w:numPr>
          <w:ilvl w:val="0"/>
          <w:numId w:val="1"/>
        </w:numPr>
        <w:tabs>
          <w:tab w:val="left" w:pos="1156"/>
        </w:tabs>
        <w:ind w:left="1155" w:hanging="260"/>
        <w:jc w:val="both"/>
        <w:rPr>
          <w:sz w:val="24"/>
        </w:rPr>
      </w:pP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basım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işlerini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68450D87" w14:textId="77777777" w:rsidR="00A44129" w:rsidRDefault="002373C1">
      <w:pPr>
        <w:pStyle w:val="Balk1"/>
        <w:spacing w:before="1" w:line="274" w:lineRule="exact"/>
        <w:jc w:val="both"/>
      </w:pP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</w:t>
      </w:r>
      <w:proofErr w:type="spellEnd"/>
    </w:p>
    <w:p w14:paraId="3C24D2FA" w14:textId="77777777" w:rsidR="00A44129" w:rsidRDefault="002373C1">
      <w:pPr>
        <w:pStyle w:val="GvdeMetni"/>
        <w:ind w:right="121" w:firstLine="820"/>
        <w:jc w:val="both"/>
      </w:pPr>
      <w:r>
        <w:rPr>
          <w:b/>
          <w:color w:val="1C283C"/>
        </w:rPr>
        <w:t xml:space="preserve">MADDE 6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Döner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Sermaye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İşletmesinin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Kuruludur</w:t>
      </w:r>
      <w:proofErr w:type="spellEnd"/>
      <w:r>
        <w:rPr>
          <w:color w:val="1C283C"/>
        </w:rPr>
        <w:t>.</w:t>
      </w:r>
    </w:p>
    <w:p w14:paraId="6BBE9FFA" w14:textId="77777777" w:rsidR="00A44129" w:rsidRDefault="002373C1">
      <w:pPr>
        <w:pStyle w:val="GvdeMetni"/>
        <w:ind w:right="119" w:firstLine="837"/>
        <w:jc w:val="both"/>
      </w:pPr>
      <w:r>
        <w:rPr>
          <w:color w:val="1C283C"/>
        </w:rPr>
        <w:t xml:space="preserve">(2)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yetkilerini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gördüğü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ölçüde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Döner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Sermaye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devredebilir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Döner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Sermaye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Kurulunca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seçilecek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muhasebe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yetkilisi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>.</w:t>
      </w:r>
    </w:p>
    <w:p w14:paraId="0B0C2DE3" w14:textId="77777777" w:rsidR="00A44129" w:rsidRDefault="00A44129">
      <w:pPr>
        <w:jc w:val="both"/>
        <w:sectPr w:rsidR="00A44129" w:rsidSect="002373C1">
          <w:type w:val="continuous"/>
          <w:pgSz w:w="11910" w:h="16840"/>
          <w:pgMar w:top="1320" w:right="1137" w:bottom="280" w:left="1300" w:header="708" w:footer="708" w:gutter="0"/>
          <w:cols w:space="708"/>
        </w:sectPr>
      </w:pPr>
    </w:p>
    <w:p w14:paraId="6D491EE0" w14:textId="77777777" w:rsidR="00A44129" w:rsidRDefault="002373C1">
      <w:pPr>
        <w:pStyle w:val="Balk1"/>
        <w:spacing w:before="74" w:line="274" w:lineRule="exact"/>
        <w:jc w:val="both"/>
      </w:pPr>
      <w:r>
        <w:rPr>
          <w:color w:val="1C283C"/>
        </w:rPr>
        <w:lastRenderedPageBreak/>
        <w:t xml:space="preserve">Mali </w:t>
      </w:r>
      <w:proofErr w:type="spellStart"/>
      <w:r>
        <w:rPr>
          <w:color w:val="1C283C"/>
        </w:rPr>
        <w:t>hükümler</w:t>
      </w:r>
      <w:proofErr w:type="spellEnd"/>
    </w:p>
    <w:p w14:paraId="2932672B" w14:textId="77777777" w:rsidR="00A44129" w:rsidRDefault="002373C1">
      <w:pPr>
        <w:pStyle w:val="GvdeMetni"/>
        <w:ind w:right="124" w:firstLine="825"/>
        <w:jc w:val="both"/>
      </w:pPr>
      <w:r>
        <w:rPr>
          <w:b/>
          <w:color w:val="1C283C"/>
        </w:rPr>
        <w:t xml:space="preserve">MADDE 7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Döner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Sermaye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İşletmesinin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</w:t>
      </w:r>
      <w:r>
        <w:rPr>
          <w:color w:val="1C283C"/>
        </w:rPr>
        <w:t>rmaye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limiti</w:t>
      </w:r>
      <w:proofErr w:type="spellEnd"/>
      <w:r>
        <w:rPr>
          <w:color w:val="1C283C"/>
        </w:rPr>
        <w:t xml:space="preserve"> 5000 YTL (</w:t>
      </w:r>
      <w:proofErr w:type="spellStart"/>
      <w:r>
        <w:rPr>
          <w:color w:val="1C283C"/>
        </w:rPr>
        <w:t>beş</w:t>
      </w:r>
      <w:proofErr w:type="spellEnd"/>
      <w:r>
        <w:rPr>
          <w:color w:val="1C283C"/>
        </w:rPr>
        <w:t xml:space="preserve"> bin YTL) dir. </w:t>
      </w:r>
      <w:proofErr w:type="spellStart"/>
      <w:r>
        <w:rPr>
          <w:color w:val="1C283C"/>
        </w:rPr>
        <w:t>İşletme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kendi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gelirleri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sermaye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artırımı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halinde</w:t>
      </w:r>
      <w:proofErr w:type="spellEnd"/>
      <w:r>
        <w:rPr>
          <w:color w:val="1C283C"/>
        </w:rPr>
        <w:t xml:space="preserve"> durum, </w:t>
      </w:r>
      <w:proofErr w:type="spellStart"/>
      <w:r>
        <w:rPr>
          <w:color w:val="1C283C"/>
        </w:rPr>
        <w:t>onbeş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bildirilir</w:t>
      </w:r>
      <w:proofErr w:type="spellEnd"/>
      <w:r>
        <w:rPr>
          <w:color w:val="1C283C"/>
        </w:rPr>
        <w:t>.</w:t>
      </w:r>
    </w:p>
    <w:p w14:paraId="0DACB6C3" w14:textId="77777777" w:rsidR="00A44129" w:rsidRDefault="002373C1">
      <w:pPr>
        <w:pStyle w:val="GvdeMetni"/>
        <w:ind w:right="122" w:firstLine="806"/>
        <w:jc w:val="both"/>
      </w:pPr>
      <w:r>
        <w:rPr>
          <w:color w:val="1C283C"/>
        </w:rPr>
        <w:t xml:space="preserve">(2) </w:t>
      </w:r>
      <w:proofErr w:type="spellStart"/>
      <w:r>
        <w:rPr>
          <w:color w:val="1C283C"/>
        </w:rPr>
        <w:t>Harcama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yetkilisi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Rektördür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yetkisini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uygun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gördüğü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ölçüde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</w:t>
      </w:r>
      <w:r>
        <w:rPr>
          <w:color w:val="1C283C"/>
        </w:rPr>
        <w:t>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dekanlara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enstitü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yüksekokul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</w:t>
      </w:r>
      <w:proofErr w:type="spellEnd"/>
      <w:r>
        <w:rPr>
          <w:color w:val="1C283C"/>
        </w:rPr>
        <w:t xml:space="preserve"> da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yöneticilerine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devredebilir</w:t>
      </w:r>
      <w:proofErr w:type="spellEnd"/>
      <w:r>
        <w:rPr>
          <w:color w:val="1C283C"/>
        </w:rPr>
        <w:t>.</w:t>
      </w:r>
    </w:p>
    <w:p w14:paraId="35EC1E06" w14:textId="77777777" w:rsidR="00A44129" w:rsidRDefault="00A44129">
      <w:pPr>
        <w:pStyle w:val="GvdeMetni"/>
        <w:spacing w:before="3"/>
        <w:ind w:left="0"/>
      </w:pPr>
    </w:p>
    <w:p w14:paraId="3E489516" w14:textId="77777777" w:rsidR="00A44129" w:rsidRDefault="002373C1">
      <w:pPr>
        <w:pStyle w:val="Balk1"/>
        <w:ind w:left="2666" w:right="2667"/>
        <w:jc w:val="center"/>
      </w:pPr>
      <w:r>
        <w:rPr>
          <w:color w:val="1C283C"/>
        </w:rPr>
        <w:t>ÜÇÜNCÜ BÖLÜM</w:t>
      </w:r>
    </w:p>
    <w:p w14:paraId="018C3CB8" w14:textId="77777777" w:rsidR="00A44129" w:rsidRDefault="002373C1">
      <w:pPr>
        <w:ind w:left="896" w:right="3396" w:firstLine="2499"/>
        <w:jc w:val="both"/>
        <w:rPr>
          <w:b/>
          <w:sz w:val="24"/>
        </w:rPr>
      </w:pPr>
      <w:proofErr w:type="spellStart"/>
      <w:r>
        <w:rPr>
          <w:b/>
          <w:color w:val="1C283C"/>
          <w:sz w:val="24"/>
        </w:rPr>
        <w:t>Çeşitli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Son </w:t>
      </w:r>
      <w:proofErr w:type="spellStart"/>
      <w:r>
        <w:rPr>
          <w:b/>
          <w:color w:val="1C283C"/>
          <w:sz w:val="24"/>
        </w:rPr>
        <w:t>Hükümler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Yönetmelikte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hüküm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bulunmayan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haller</w:t>
      </w:r>
      <w:proofErr w:type="spellEnd"/>
    </w:p>
    <w:p w14:paraId="7C021C82" w14:textId="77777777" w:rsidR="00A44129" w:rsidRDefault="002373C1">
      <w:pPr>
        <w:pStyle w:val="GvdeMetni"/>
        <w:ind w:right="117" w:firstLine="803"/>
        <w:jc w:val="both"/>
      </w:pPr>
      <w:r>
        <w:rPr>
          <w:b/>
          <w:color w:val="1C283C"/>
        </w:rPr>
        <w:t xml:space="preserve">MADDE 8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; 5/7/1983 </w:t>
      </w:r>
      <w:proofErr w:type="spellStart"/>
      <w:r>
        <w:rPr>
          <w:color w:val="1C283C"/>
        </w:rPr>
        <w:t>tarihli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18098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Resmî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Gazete’de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yayımlanan</w:t>
      </w:r>
      <w:proofErr w:type="spellEnd"/>
      <w:r>
        <w:rPr>
          <w:color w:val="1C283C"/>
        </w:rPr>
        <w:t xml:space="preserve">,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58 </w:t>
      </w:r>
      <w:proofErr w:type="spellStart"/>
      <w:r>
        <w:rPr>
          <w:color w:val="1C283C"/>
        </w:rPr>
        <w:t>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Döner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Sermaye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İşletmelerinin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Kurulmasında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Uyulacak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İlişkin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1/5/200</w:t>
      </w:r>
      <w:r>
        <w:rPr>
          <w:color w:val="1C283C"/>
        </w:rPr>
        <w:t xml:space="preserve">7 </w:t>
      </w:r>
      <w:proofErr w:type="spellStart"/>
      <w:r>
        <w:rPr>
          <w:color w:val="1C283C"/>
        </w:rPr>
        <w:t>tarihli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26509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Resmî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Gazete’de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yayımlanan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Döner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Sermayeli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İşletmeler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Bütçe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Muhasebe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Yönetmeliği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mevzuat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uygulanır</w:t>
      </w:r>
      <w:proofErr w:type="spellEnd"/>
      <w:r>
        <w:rPr>
          <w:color w:val="1C283C"/>
        </w:rPr>
        <w:t>.</w:t>
      </w:r>
    </w:p>
    <w:p w14:paraId="780C93DF" w14:textId="77777777" w:rsidR="00A44129" w:rsidRDefault="00A44129">
      <w:pPr>
        <w:pStyle w:val="GvdeMetni"/>
        <w:spacing w:before="1"/>
        <w:ind w:left="0"/>
      </w:pPr>
    </w:p>
    <w:p w14:paraId="1591C5EE" w14:textId="77777777" w:rsidR="00A44129" w:rsidRDefault="002373C1">
      <w:pPr>
        <w:pStyle w:val="Balk1"/>
        <w:spacing w:line="274" w:lineRule="exact"/>
      </w:pPr>
      <w:proofErr w:type="spellStart"/>
      <w:r>
        <w:rPr>
          <w:color w:val="1C283C"/>
        </w:rPr>
        <w:t>Yürürlük</w:t>
      </w:r>
      <w:proofErr w:type="spellEnd"/>
    </w:p>
    <w:p w14:paraId="1462EEF1" w14:textId="77777777" w:rsidR="00A44129" w:rsidRDefault="002373C1">
      <w:pPr>
        <w:pStyle w:val="GvdeMetni"/>
        <w:ind w:firstLine="707"/>
      </w:pPr>
      <w:r>
        <w:rPr>
          <w:b/>
          <w:color w:val="1C283C"/>
        </w:rPr>
        <w:t xml:space="preserve">MADDE 9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Maliye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Bakanlığı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Sayıştayın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görüşleri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alınarak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</w:t>
      </w:r>
      <w:r>
        <w:rPr>
          <w:color w:val="1C283C"/>
        </w:rPr>
        <w:t>ayımı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tarihinde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girer</w:t>
      </w:r>
      <w:proofErr w:type="spellEnd"/>
      <w:r>
        <w:rPr>
          <w:color w:val="1C283C"/>
        </w:rPr>
        <w:t>.</w:t>
      </w:r>
    </w:p>
    <w:p w14:paraId="32753EDC" w14:textId="77777777" w:rsidR="00A44129" w:rsidRDefault="002373C1">
      <w:pPr>
        <w:pStyle w:val="Balk1"/>
        <w:spacing w:before="2" w:line="274" w:lineRule="exact"/>
      </w:pPr>
      <w:proofErr w:type="spellStart"/>
      <w:r>
        <w:rPr>
          <w:color w:val="1C283C"/>
        </w:rPr>
        <w:t>Yürütme</w:t>
      </w:r>
      <w:proofErr w:type="spellEnd"/>
    </w:p>
    <w:p w14:paraId="56F9574F" w14:textId="1B6CA12E" w:rsidR="00A44129" w:rsidRDefault="002373C1">
      <w:pPr>
        <w:pStyle w:val="GvdeMetni"/>
        <w:spacing w:line="274" w:lineRule="exact"/>
        <w:ind w:left="930"/>
      </w:pPr>
      <w:r>
        <w:rPr>
          <w:b/>
          <w:color w:val="1C283C"/>
        </w:rPr>
        <w:t xml:space="preserve">MADDE 10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</w:t>
      </w:r>
      <w:proofErr w:type="spellEnd"/>
    </w:p>
    <w:p w14:paraId="3697664A" w14:textId="2CBC20B3" w:rsidR="00A44129" w:rsidRDefault="002373C1">
      <w:pPr>
        <w:pStyle w:val="GvdeMetni"/>
        <w:rPr>
          <w:color w:val="1C283C"/>
        </w:rPr>
      </w:pPr>
      <w:proofErr w:type="spellStart"/>
      <w:r>
        <w:rPr>
          <w:color w:val="1C283C"/>
        </w:rPr>
        <w:t>yürütür</w:t>
      </w:r>
      <w:proofErr w:type="spellEnd"/>
      <w:r>
        <w:rPr>
          <w:color w:val="1C283C"/>
        </w:rPr>
        <w:t>.</w:t>
      </w:r>
    </w:p>
    <w:p w14:paraId="483F4273" w14:textId="3DE5244C" w:rsidR="00993066" w:rsidRDefault="00993066">
      <w:pPr>
        <w:pStyle w:val="GvdeMetni"/>
        <w:rPr>
          <w:color w:val="1C283C"/>
        </w:rPr>
      </w:pPr>
    </w:p>
    <w:p w14:paraId="1AAE4E61" w14:textId="2C019FC1" w:rsidR="00993066" w:rsidRDefault="00993066">
      <w:pPr>
        <w:pStyle w:val="GvdeMetni"/>
        <w:rPr>
          <w:color w:val="1C283C"/>
        </w:rPr>
      </w:pPr>
    </w:p>
    <w:p w14:paraId="555A71A6" w14:textId="2B879475" w:rsidR="00993066" w:rsidRPr="00993066" w:rsidRDefault="00993066">
      <w:pPr>
        <w:pStyle w:val="GvdeMetni"/>
        <w:rPr>
          <w:b/>
          <w:bCs/>
        </w:rPr>
      </w:pPr>
      <w:r>
        <w:rPr>
          <w:b/>
          <w:bCs/>
          <w:color w:val="1C283C"/>
          <w:sz w:val="20"/>
        </w:rPr>
        <w:t>*</w:t>
      </w:r>
      <w:proofErr w:type="spellStart"/>
      <w:r w:rsidRPr="00993066">
        <w:rPr>
          <w:b/>
          <w:bCs/>
          <w:color w:val="1C283C"/>
          <w:sz w:val="20"/>
        </w:rPr>
        <w:t>Resmi</w:t>
      </w:r>
      <w:proofErr w:type="spellEnd"/>
      <w:r w:rsidRPr="00993066">
        <w:rPr>
          <w:b/>
          <w:bCs/>
          <w:color w:val="1C283C"/>
          <w:sz w:val="20"/>
        </w:rPr>
        <w:t xml:space="preserve"> </w:t>
      </w:r>
      <w:proofErr w:type="spellStart"/>
      <w:r w:rsidRPr="00993066">
        <w:rPr>
          <w:b/>
          <w:bCs/>
          <w:color w:val="1C283C"/>
          <w:sz w:val="20"/>
        </w:rPr>
        <w:t>Gazete</w:t>
      </w:r>
      <w:proofErr w:type="spellEnd"/>
      <w:r w:rsidRPr="00993066">
        <w:rPr>
          <w:b/>
          <w:bCs/>
          <w:color w:val="1C283C"/>
          <w:sz w:val="20"/>
        </w:rPr>
        <w:t xml:space="preserve"> </w:t>
      </w:r>
      <w:proofErr w:type="spellStart"/>
      <w:r w:rsidRPr="00993066">
        <w:rPr>
          <w:b/>
          <w:bCs/>
          <w:color w:val="1C283C"/>
          <w:sz w:val="20"/>
        </w:rPr>
        <w:t>Tarihi</w:t>
      </w:r>
      <w:proofErr w:type="spellEnd"/>
      <w:r w:rsidRPr="00993066">
        <w:rPr>
          <w:b/>
          <w:bCs/>
          <w:color w:val="1C283C"/>
          <w:sz w:val="20"/>
        </w:rPr>
        <w:t xml:space="preserve">: 22.10.2007 </w:t>
      </w:r>
      <w:proofErr w:type="spellStart"/>
      <w:r w:rsidRPr="00993066">
        <w:rPr>
          <w:b/>
          <w:bCs/>
          <w:color w:val="1C283C"/>
          <w:sz w:val="20"/>
        </w:rPr>
        <w:t>Resmi</w:t>
      </w:r>
      <w:proofErr w:type="spellEnd"/>
      <w:r w:rsidRPr="00993066">
        <w:rPr>
          <w:b/>
          <w:bCs/>
          <w:color w:val="1C283C"/>
          <w:sz w:val="20"/>
        </w:rPr>
        <w:t xml:space="preserve"> </w:t>
      </w:r>
      <w:proofErr w:type="spellStart"/>
      <w:r w:rsidRPr="00993066">
        <w:rPr>
          <w:b/>
          <w:bCs/>
          <w:color w:val="1C283C"/>
          <w:sz w:val="20"/>
        </w:rPr>
        <w:t>Gazete</w:t>
      </w:r>
      <w:proofErr w:type="spellEnd"/>
      <w:r w:rsidRPr="00993066">
        <w:rPr>
          <w:b/>
          <w:bCs/>
          <w:color w:val="1C283C"/>
          <w:sz w:val="20"/>
        </w:rPr>
        <w:t xml:space="preserve"> </w:t>
      </w:r>
      <w:proofErr w:type="spellStart"/>
      <w:r w:rsidRPr="00993066">
        <w:rPr>
          <w:b/>
          <w:bCs/>
          <w:color w:val="1C283C"/>
          <w:sz w:val="20"/>
        </w:rPr>
        <w:t>Sayısı</w:t>
      </w:r>
      <w:proofErr w:type="spellEnd"/>
      <w:r w:rsidRPr="00993066">
        <w:rPr>
          <w:b/>
          <w:bCs/>
          <w:color w:val="1C283C"/>
          <w:sz w:val="20"/>
        </w:rPr>
        <w:t>: 26678</w:t>
      </w:r>
    </w:p>
    <w:sectPr w:rsidR="00993066" w:rsidRPr="00993066" w:rsidSect="002373C1">
      <w:pgSz w:w="11910" w:h="16840"/>
      <w:pgMar w:top="1320" w:right="1137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710"/>
    <w:multiLevelType w:val="hybridMultilevel"/>
    <w:tmpl w:val="4434F39C"/>
    <w:lvl w:ilvl="0" w:tplc="558690C6">
      <w:start w:val="1"/>
      <w:numFmt w:val="lowerLetter"/>
      <w:lvlText w:val="%1)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8B00E87E">
      <w:numFmt w:val="bullet"/>
      <w:lvlText w:val="•"/>
      <w:lvlJc w:val="left"/>
      <w:pPr>
        <w:ind w:left="1038" w:hanging="257"/>
      </w:pPr>
      <w:rPr>
        <w:rFonts w:hint="default"/>
        <w:lang w:val="en-US" w:eastAsia="en-US" w:bidi="en-US"/>
      </w:rPr>
    </w:lvl>
    <w:lvl w:ilvl="2" w:tplc="CEE24B82">
      <w:numFmt w:val="bullet"/>
      <w:lvlText w:val="•"/>
      <w:lvlJc w:val="left"/>
      <w:pPr>
        <w:ind w:left="1957" w:hanging="257"/>
      </w:pPr>
      <w:rPr>
        <w:rFonts w:hint="default"/>
        <w:lang w:val="en-US" w:eastAsia="en-US" w:bidi="en-US"/>
      </w:rPr>
    </w:lvl>
    <w:lvl w:ilvl="3" w:tplc="472010E6">
      <w:numFmt w:val="bullet"/>
      <w:lvlText w:val="•"/>
      <w:lvlJc w:val="left"/>
      <w:pPr>
        <w:ind w:left="2875" w:hanging="257"/>
      </w:pPr>
      <w:rPr>
        <w:rFonts w:hint="default"/>
        <w:lang w:val="en-US" w:eastAsia="en-US" w:bidi="en-US"/>
      </w:rPr>
    </w:lvl>
    <w:lvl w:ilvl="4" w:tplc="9C0E52F0">
      <w:numFmt w:val="bullet"/>
      <w:lvlText w:val="•"/>
      <w:lvlJc w:val="left"/>
      <w:pPr>
        <w:ind w:left="3794" w:hanging="257"/>
      </w:pPr>
      <w:rPr>
        <w:rFonts w:hint="default"/>
        <w:lang w:val="en-US" w:eastAsia="en-US" w:bidi="en-US"/>
      </w:rPr>
    </w:lvl>
    <w:lvl w:ilvl="5" w:tplc="2A627ADC">
      <w:numFmt w:val="bullet"/>
      <w:lvlText w:val="•"/>
      <w:lvlJc w:val="left"/>
      <w:pPr>
        <w:ind w:left="4713" w:hanging="257"/>
      </w:pPr>
      <w:rPr>
        <w:rFonts w:hint="default"/>
        <w:lang w:val="en-US" w:eastAsia="en-US" w:bidi="en-US"/>
      </w:rPr>
    </w:lvl>
    <w:lvl w:ilvl="6" w:tplc="E82ED7D8">
      <w:numFmt w:val="bullet"/>
      <w:lvlText w:val="•"/>
      <w:lvlJc w:val="left"/>
      <w:pPr>
        <w:ind w:left="5631" w:hanging="257"/>
      </w:pPr>
      <w:rPr>
        <w:rFonts w:hint="default"/>
        <w:lang w:val="en-US" w:eastAsia="en-US" w:bidi="en-US"/>
      </w:rPr>
    </w:lvl>
    <w:lvl w:ilvl="7" w:tplc="19DEA7B0">
      <w:numFmt w:val="bullet"/>
      <w:lvlText w:val="•"/>
      <w:lvlJc w:val="left"/>
      <w:pPr>
        <w:ind w:left="6550" w:hanging="257"/>
      </w:pPr>
      <w:rPr>
        <w:rFonts w:hint="default"/>
        <w:lang w:val="en-US" w:eastAsia="en-US" w:bidi="en-US"/>
      </w:rPr>
    </w:lvl>
    <w:lvl w:ilvl="8" w:tplc="9BBE2DE6">
      <w:numFmt w:val="bullet"/>
      <w:lvlText w:val="•"/>
      <w:lvlJc w:val="left"/>
      <w:pPr>
        <w:ind w:left="7469" w:hanging="257"/>
      </w:pPr>
      <w:rPr>
        <w:rFonts w:hint="default"/>
        <w:lang w:val="en-US" w:eastAsia="en-US" w:bidi="en-US"/>
      </w:rPr>
    </w:lvl>
  </w:abstractNum>
  <w:abstractNum w:abstractNumId="1" w15:restartNumberingAfterBreak="0">
    <w:nsid w:val="243836BF"/>
    <w:multiLevelType w:val="hybridMultilevel"/>
    <w:tmpl w:val="FEDE3B8C"/>
    <w:lvl w:ilvl="0" w:tplc="E240680A">
      <w:start w:val="1"/>
      <w:numFmt w:val="lowerLetter"/>
      <w:lvlText w:val="%1)"/>
      <w:lvlJc w:val="left"/>
      <w:pPr>
        <w:ind w:left="1143" w:hanging="247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C298DE6A">
      <w:numFmt w:val="bullet"/>
      <w:lvlText w:val="•"/>
      <w:lvlJc w:val="left"/>
      <w:pPr>
        <w:ind w:left="1956" w:hanging="247"/>
      </w:pPr>
      <w:rPr>
        <w:rFonts w:hint="default"/>
        <w:lang w:val="en-US" w:eastAsia="en-US" w:bidi="en-US"/>
      </w:rPr>
    </w:lvl>
    <w:lvl w:ilvl="2" w:tplc="27C88AAE">
      <w:numFmt w:val="bullet"/>
      <w:lvlText w:val="•"/>
      <w:lvlJc w:val="left"/>
      <w:pPr>
        <w:ind w:left="2773" w:hanging="247"/>
      </w:pPr>
      <w:rPr>
        <w:rFonts w:hint="default"/>
        <w:lang w:val="en-US" w:eastAsia="en-US" w:bidi="en-US"/>
      </w:rPr>
    </w:lvl>
    <w:lvl w:ilvl="3" w:tplc="B16620D0">
      <w:numFmt w:val="bullet"/>
      <w:lvlText w:val="•"/>
      <w:lvlJc w:val="left"/>
      <w:pPr>
        <w:ind w:left="3589" w:hanging="247"/>
      </w:pPr>
      <w:rPr>
        <w:rFonts w:hint="default"/>
        <w:lang w:val="en-US" w:eastAsia="en-US" w:bidi="en-US"/>
      </w:rPr>
    </w:lvl>
    <w:lvl w:ilvl="4" w:tplc="35CAE70E">
      <w:numFmt w:val="bullet"/>
      <w:lvlText w:val="•"/>
      <w:lvlJc w:val="left"/>
      <w:pPr>
        <w:ind w:left="4406" w:hanging="247"/>
      </w:pPr>
      <w:rPr>
        <w:rFonts w:hint="default"/>
        <w:lang w:val="en-US" w:eastAsia="en-US" w:bidi="en-US"/>
      </w:rPr>
    </w:lvl>
    <w:lvl w:ilvl="5" w:tplc="A89CE624">
      <w:numFmt w:val="bullet"/>
      <w:lvlText w:val="•"/>
      <w:lvlJc w:val="left"/>
      <w:pPr>
        <w:ind w:left="5223" w:hanging="247"/>
      </w:pPr>
      <w:rPr>
        <w:rFonts w:hint="default"/>
        <w:lang w:val="en-US" w:eastAsia="en-US" w:bidi="en-US"/>
      </w:rPr>
    </w:lvl>
    <w:lvl w:ilvl="6" w:tplc="82848F32">
      <w:numFmt w:val="bullet"/>
      <w:lvlText w:val="•"/>
      <w:lvlJc w:val="left"/>
      <w:pPr>
        <w:ind w:left="6039" w:hanging="247"/>
      </w:pPr>
      <w:rPr>
        <w:rFonts w:hint="default"/>
        <w:lang w:val="en-US" w:eastAsia="en-US" w:bidi="en-US"/>
      </w:rPr>
    </w:lvl>
    <w:lvl w:ilvl="7" w:tplc="F5A41EEA">
      <w:numFmt w:val="bullet"/>
      <w:lvlText w:val="•"/>
      <w:lvlJc w:val="left"/>
      <w:pPr>
        <w:ind w:left="6856" w:hanging="247"/>
      </w:pPr>
      <w:rPr>
        <w:rFonts w:hint="default"/>
        <w:lang w:val="en-US" w:eastAsia="en-US" w:bidi="en-US"/>
      </w:rPr>
    </w:lvl>
    <w:lvl w:ilvl="8" w:tplc="393ABB8C">
      <w:numFmt w:val="bullet"/>
      <w:lvlText w:val="•"/>
      <w:lvlJc w:val="left"/>
      <w:pPr>
        <w:ind w:left="7673" w:hanging="24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29"/>
    <w:rsid w:val="002373C1"/>
    <w:rsid w:val="00993066"/>
    <w:rsid w:val="00A4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6931"/>
  <w15:docId w15:val="{0E430C3D-B2FA-489C-8E51-E284BE9C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8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hanging="2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2021-11-12T13:43:00Z</dcterms:created>
  <dcterms:modified xsi:type="dcterms:W3CDTF">2021-11-12T13:43:00Z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2021-11-09T00:00:00Z</vt:filetime>
  </property>
</Properties>
</file>