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738"/>
        <w:gridCol w:w="2152"/>
        <w:gridCol w:w="1825"/>
      </w:tblGrid>
      <w:tr w:rsidR="00FD61DF" w:rsidRPr="004C4A7F" w14:paraId="3F57041A" w14:textId="77777777" w:rsidTr="00FD61DF">
        <w:trPr>
          <w:trHeight w:val="26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C0C07D8" w14:textId="79A19F56" w:rsidR="00FD61DF" w:rsidRPr="004C4A7F" w:rsidRDefault="00FD61DF" w:rsidP="00BF38F6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</w:p>
          <w:p w14:paraId="4495B033" w14:textId="486AAC24" w:rsidR="00FD61DF" w:rsidRPr="004C4A7F" w:rsidRDefault="00FD61DF" w:rsidP="00BF38F6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  <w:bookmarkStart w:id="0" w:name="NAMIK_KEMAL_ÜNİVERSİTESİ_MEVZUAT_KOMİSYO"/>
            <w:bookmarkEnd w:id="0"/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BD6A009" wp14:editId="1684F21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60325</wp:posOffset>
                  </wp:positionV>
                  <wp:extent cx="1116965" cy="10096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A0E194" w14:textId="77777777" w:rsidR="00FD61DF" w:rsidRDefault="00FD61DF" w:rsidP="00FD61DF">
            <w:pPr>
              <w:ind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6A0ADA5C" w14:textId="77777777" w:rsidR="00FD61DF" w:rsidRDefault="00FD61DF" w:rsidP="00FD61DF">
            <w:pPr>
              <w:ind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3D95805A" w14:textId="61FAB551" w:rsidR="00FD61DF" w:rsidRPr="004C4A7F" w:rsidRDefault="00FD61DF" w:rsidP="00FD61DF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MEVZUAT KOMİSYONU YÖNERGESİ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9BEC9" w14:textId="77777777" w:rsidR="00FD61DF" w:rsidRPr="00FD61DF" w:rsidRDefault="00FD61DF" w:rsidP="00BF38F6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FD61D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C8E071" w14:textId="66671683" w:rsidR="00FD61DF" w:rsidRPr="00FD61DF" w:rsidRDefault="00FD61DF" w:rsidP="00FD61DF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D61DF">
              <w:rPr>
                <w:rFonts w:eastAsia="Calibri"/>
                <w:sz w:val="20"/>
                <w:szCs w:val="20"/>
                <w:lang w:eastAsia="tr-TR" w:bidi="tr-TR"/>
              </w:rPr>
              <w:t>EYS-YNG-041</w:t>
            </w:r>
          </w:p>
        </w:tc>
      </w:tr>
      <w:tr w:rsidR="00FD61DF" w:rsidRPr="004C4A7F" w14:paraId="55E9ED05" w14:textId="77777777" w:rsidTr="00FD61DF">
        <w:trPr>
          <w:trHeight w:val="253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8452401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82E392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1547F" w14:textId="77777777" w:rsidR="00FD61DF" w:rsidRPr="00FD61DF" w:rsidRDefault="00FD61DF" w:rsidP="00BF38F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FD61D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F35AAA" w14:textId="27042E0B" w:rsidR="00FD61DF" w:rsidRPr="00FD61DF" w:rsidRDefault="00FD61DF" w:rsidP="00FD61DF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D61DF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FD61DF" w:rsidRPr="004C4A7F" w14:paraId="2717C657" w14:textId="77777777" w:rsidTr="00FD61DF">
        <w:trPr>
          <w:trHeight w:val="413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A36BAAD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A43ADD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31D14" w14:textId="77777777" w:rsidR="00FD61DF" w:rsidRPr="00FD61DF" w:rsidRDefault="00FD61DF" w:rsidP="00BF38F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FD61D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2F7E94" w14:textId="1BD79A7A" w:rsidR="00FD61DF" w:rsidRPr="00FD61DF" w:rsidRDefault="00FD61DF" w:rsidP="00FD61DF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D61DF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FD61DF" w:rsidRPr="004C4A7F" w14:paraId="34FDC794" w14:textId="77777777" w:rsidTr="00FD61DF">
        <w:trPr>
          <w:trHeight w:val="377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620B186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474B2E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BF3F6" w14:textId="77777777" w:rsidR="00FD61DF" w:rsidRPr="00FD61DF" w:rsidRDefault="00FD61DF" w:rsidP="00BF38F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FD61D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6AEC73" w14:textId="394DE99A" w:rsidR="00FD61DF" w:rsidRPr="00FD61DF" w:rsidRDefault="00FD61DF" w:rsidP="00FD61DF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D61DF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FD61DF" w:rsidRPr="004C4A7F" w14:paraId="593D9DAB" w14:textId="77777777" w:rsidTr="00FD61DF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DE3D67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E65A95" w14:textId="77777777" w:rsidR="00FD61DF" w:rsidRPr="004C4A7F" w:rsidRDefault="00FD61DF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72473E" w14:textId="547E1D14" w:rsidR="00FD61DF" w:rsidRPr="00FD61DF" w:rsidRDefault="00FD61DF" w:rsidP="00FD61DF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FD61D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 Sayfa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D61D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406D2" w14:textId="77777777" w:rsidR="00FD61DF" w:rsidRPr="00FD61DF" w:rsidRDefault="00FD61DF" w:rsidP="00BF38F6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75264BFA" w14:textId="7D078405" w:rsidR="00FD61DF" w:rsidRPr="00FD61DF" w:rsidRDefault="00FD61DF" w:rsidP="00FD61DF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D61DF">
              <w:rPr>
                <w:rFonts w:eastAsia="Calibri"/>
                <w:sz w:val="20"/>
                <w:szCs w:val="20"/>
                <w:lang w:eastAsia="tr-TR" w:bidi="tr-TR"/>
              </w:rPr>
              <w:t>2</w:t>
            </w:r>
          </w:p>
        </w:tc>
      </w:tr>
    </w:tbl>
    <w:p w14:paraId="344A733F" w14:textId="77777777" w:rsidR="00297C0A" w:rsidRDefault="00297C0A" w:rsidP="00FD61DF">
      <w:pPr>
        <w:pStyle w:val="GvdeMetni"/>
        <w:spacing w:before="1"/>
        <w:jc w:val="both"/>
        <w:rPr>
          <w:b/>
          <w:sz w:val="31"/>
        </w:rPr>
      </w:pPr>
    </w:p>
    <w:p w14:paraId="2734043E" w14:textId="77777777" w:rsidR="00297C0A" w:rsidRDefault="00AD3A1C" w:rsidP="00FD61DF">
      <w:pPr>
        <w:ind w:left="584" w:right="744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11937586" w14:textId="77777777" w:rsidR="00297C0A" w:rsidRDefault="00AD3A1C" w:rsidP="00FD61DF">
      <w:pPr>
        <w:spacing w:before="43"/>
        <w:ind w:left="424" w:right="744"/>
        <w:jc w:val="center"/>
        <w:rPr>
          <w:b/>
          <w:sz w:val="24"/>
        </w:rPr>
      </w:pPr>
      <w:r>
        <w:rPr>
          <w:b/>
          <w:sz w:val="24"/>
        </w:rPr>
        <w:t>Amaç, Kapsam, Dayanak ve Tanımlar</w:t>
      </w:r>
    </w:p>
    <w:p w14:paraId="61105598" w14:textId="77777777" w:rsidR="00297C0A" w:rsidRDefault="00297C0A" w:rsidP="00FD61DF">
      <w:pPr>
        <w:pStyle w:val="GvdeMetni"/>
        <w:spacing w:before="1"/>
        <w:jc w:val="both"/>
        <w:rPr>
          <w:b/>
          <w:sz w:val="31"/>
        </w:rPr>
      </w:pPr>
    </w:p>
    <w:p w14:paraId="4AB07FBC" w14:textId="77777777" w:rsidR="00297C0A" w:rsidRDefault="00AD3A1C" w:rsidP="00FD61DF">
      <w:pPr>
        <w:spacing w:before="1"/>
        <w:ind w:left="824"/>
        <w:jc w:val="both"/>
        <w:rPr>
          <w:b/>
          <w:sz w:val="24"/>
        </w:rPr>
      </w:pPr>
      <w:r>
        <w:rPr>
          <w:b/>
          <w:sz w:val="24"/>
        </w:rPr>
        <w:t>Amaç</w:t>
      </w:r>
    </w:p>
    <w:p w14:paraId="70212F21" w14:textId="1AE5478B" w:rsidR="00297C0A" w:rsidRDefault="00AD3A1C" w:rsidP="00FD61DF">
      <w:pPr>
        <w:pStyle w:val="GvdeMetni"/>
        <w:spacing w:before="33"/>
        <w:ind w:left="823" w:right="-24"/>
        <w:jc w:val="both"/>
      </w:pPr>
      <w:r>
        <w:rPr>
          <w:b/>
        </w:rPr>
        <w:t xml:space="preserve">MADDE 1 – </w:t>
      </w:r>
      <w:r>
        <w:t xml:space="preserve">(1) Bu Yönerge’nin amacı, </w:t>
      </w:r>
      <w:r w:rsidR="00FD61DF">
        <w:t xml:space="preserve">Tekirdağ </w:t>
      </w:r>
      <w:r>
        <w:t>Namık Kemal Üniversitesi bünyesinde faaliyet</w:t>
      </w:r>
    </w:p>
    <w:p w14:paraId="4419EB0A" w14:textId="77777777" w:rsidR="00297C0A" w:rsidRDefault="00AD3A1C" w:rsidP="00FD61DF">
      <w:pPr>
        <w:pStyle w:val="GvdeMetni"/>
        <w:spacing w:before="41"/>
        <w:ind w:left="116"/>
        <w:jc w:val="both"/>
      </w:pPr>
      <w:r>
        <w:t>gösteren mevzuat komisyonunun kuruluş ve çalışma esaslarını belirlemektir.</w:t>
      </w:r>
    </w:p>
    <w:p w14:paraId="315AC7C2" w14:textId="77777777" w:rsidR="00297C0A" w:rsidRDefault="00AD3A1C" w:rsidP="00FD61DF">
      <w:pPr>
        <w:pStyle w:val="Balk1"/>
        <w:spacing w:before="53"/>
        <w:jc w:val="both"/>
      </w:pPr>
      <w:bookmarkStart w:id="1" w:name="Kapsam"/>
      <w:bookmarkEnd w:id="1"/>
      <w:r>
        <w:t>Kapsam</w:t>
      </w:r>
    </w:p>
    <w:p w14:paraId="02AE3140" w14:textId="5791FB12" w:rsidR="00297C0A" w:rsidRDefault="00AD3A1C" w:rsidP="00FD61DF">
      <w:pPr>
        <w:pStyle w:val="GvdeMetni"/>
        <w:spacing w:before="34"/>
        <w:ind w:left="824"/>
        <w:jc w:val="both"/>
      </w:pPr>
      <w:r>
        <w:rPr>
          <w:b/>
        </w:rPr>
        <w:t xml:space="preserve">MADDE 2 – </w:t>
      </w:r>
      <w:r>
        <w:t xml:space="preserve">(1) Bu Yönerge, </w:t>
      </w:r>
      <w:r w:rsidR="00FD61DF">
        <w:t xml:space="preserve">Tekirdağ </w:t>
      </w:r>
      <w:r>
        <w:t>Namık Kemal Üniversitesi Mevzuat Komisyonu</w:t>
      </w:r>
    </w:p>
    <w:p w14:paraId="6FA41A92" w14:textId="77777777" w:rsidR="00297C0A" w:rsidRDefault="00AD3A1C" w:rsidP="00FD61DF">
      <w:pPr>
        <w:pStyle w:val="GvdeMetni"/>
        <w:spacing w:before="40"/>
        <w:ind w:left="116"/>
        <w:jc w:val="both"/>
      </w:pPr>
      <w:r>
        <w:t>tarafından ifa edilen görevleri ve</w:t>
      </w:r>
      <w:r>
        <w:t xml:space="preserve"> çalışma esaslarını kapsamaktadır.</w:t>
      </w:r>
    </w:p>
    <w:p w14:paraId="059C4756" w14:textId="77777777" w:rsidR="00297C0A" w:rsidRDefault="00AD3A1C" w:rsidP="00FD61DF">
      <w:pPr>
        <w:pStyle w:val="Balk1"/>
        <w:spacing w:before="51"/>
        <w:jc w:val="both"/>
      </w:pPr>
      <w:bookmarkStart w:id="2" w:name="Dayanak"/>
      <w:bookmarkEnd w:id="2"/>
      <w:r>
        <w:t>Dayanak</w:t>
      </w:r>
    </w:p>
    <w:p w14:paraId="57694ED6" w14:textId="77777777" w:rsidR="00297C0A" w:rsidRDefault="00AD3A1C" w:rsidP="00FD61DF">
      <w:pPr>
        <w:pStyle w:val="GvdeMetni"/>
        <w:spacing w:before="33" w:line="278" w:lineRule="auto"/>
        <w:ind w:left="116" w:firstLine="708"/>
        <w:jc w:val="both"/>
      </w:pPr>
      <w:r>
        <w:rPr>
          <w:b/>
        </w:rPr>
        <w:t xml:space="preserve">MADDE 3 - </w:t>
      </w:r>
      <w:r>
        <w:t>(1) Bu Yönerge, 2547 sayılı Yükseköğretim Kanunu’nun 14/b maddesine dayanılarak hazırlanmıştır.</w:t>
      </w:r>
    </w:p>
    <w:p w14:paraId="7E02421A" w14:textId="77777777" w:rsidR="00297C0A" w:rsidRDefault="00AD3A1C" w:rsidP="00FD61DF">
      <w:pPr>
        <w:pStyle w:val="Balk1"/>
        <w:spacing w:before="6"/>
        <w:jc w:val="both"/>
      </w:pPr>
      <w:bookmarkStart w:id="3" w:name="Tanımlar"/>
      <w:bookmarkEnd w:id="3"/>
      <w:r>
        <w:t>Tanımlar</w:t>
      </w:r>
    </w:p>
    <w:p w14:paraId="37AEE1E5" w14:textId="77777777" w:rsidR="00297C0A" w:rsidRDefault="00AD3A1C" w:rsidP="00FD61DF">
      <w:pPr>
        <w:spacing w:before="29"/>
        <w:ind w:left="824"/>
        <w:jc w:val="both"/>
        <w:rPr>
          <w:sz w:val="24"/>
        </w:rPr>
      </w:pPr>
      <w:r>
        <w:rPr>
          <w:b/>
          <w:sz w:val="24"/>
        </w:rPr>
        <w:t xml:space="preserve">MADDE 4 - </w:t>
      </w:r>
      <w:r>
        <w:rPr>
          <w:sz w:val="24"/>
        </w:rPr>
        <w:t>(1) Bu Yönerge’de geçen:</w:t>
      </w:r>
    </w:p>
    <w:p w14:paraId="4B1CF12C" w14:textId="04B9FB29" w:rsidR="00297C0A" w:rsidRDefault="00AD3A1C" w:rsidP="00FD61DF">
      <w:pPr>
        <w:pStyle w:val="GvdeMetni"/>
        <w:spacing w:before="43" w:line="278" w:lineRule="auto"/>
        <w:ind w:left="823" w:right="1085"/>
        <w:jc w:val="both"/>
      </w:pPr>
      <w:r>
        <w:t xml:space="preserve">a)Komisyon: </w:t>
      </w:r>
      <w:r w:rsidR="00FD61DF">
        <w:t xml:space="preserve">Tekirdağ </w:t>
      </w:r>
      <w:r>
        <w:t>Namık Kemal Üniversitesi Mevzuat Komisyonunu, b)Üniversite:</w:t>
      </w:r>
      <w:r w:rsidR="00FD61DF">
        <w:t xml:space="preserve"> Tekirdağ</w:t>
      </w:r>
      <w:r>
        <w:t xml:space="preserve"> </w:t>
      </w:r>
      <w:r w:rsidR="00FD61DF">
        <w:t>N</w:t>
      </w:r>
      <w:r>
        <w:t>amık Kemal Üniversitesini,</w:t>
      </w:r>
    </w:p>
    <w:p w14:paraId="7A5B19D0" w14:textId="593ED126" w:rsidR="00297C0A" w:rsidRPr="00FD61DF" w:rsidRDefault="00AD3A1C" w:rsidP="00FD61DF">
      <w:pPr>
        <w:pStyle w:val="GvdeMetni"/>
        <w:spacing w:line="276" w:lineRule="auto"/>
        <w:ind w:left="823" w:right="3626"/>
        <w:jc w:val="both"/>
      </w:pPr>
      <w:r>
        <w:t xml:space="preserve">c)Rektör: </w:t>
      </w:r>
      <w:r w:rsidR="00FD61DF">
        <w:t xml:space="preserve">Tekirdağ </w:t>
      </w:r>
      <w:r>
        <w:t xml:space="preserve">Namık Kemal Üniversitesi Rektörü’nü, ç)Senato: </w:t>
      </w:r>
      <w:r w:rsidR="00FD61DF">
        <w:t xml:space="preserve">Tekirdağ </w:t>
      </w:r>
      <w:r>
        <w:t>Namık Kemal</w:t>
      </w:r>
      <w:r w:rsidR="00FD61DF">
        <w:t xml:space="preserve"> </w:t>
      </w:r>
      <w:r>
        <w:t>Üniversitesi Senatosunu, ifade eder.</w:t>
      </w:r>
    </w:p>
    <w:p w14:paraId="13FA3C7F" w14:textId="77777777" w:rsidR="00297C0A" w:rsidRDefault="00297C0A" w:rsidP="00FD61DF">
      <w:pPr>
        <w:pStyle w:val="GvdeMetni"/>
        <w:spacing w:before="9"/>
        <w:jc w:val="both"/>
        <w:rPr>
          <w:sz w:val="29"/>
        </w:rPr>
      </w:pPr>
    </w:p>
    <w:p w14:paraId="01EF9867" w14:textId="77777777" w:rsidR="00297C0A" w:rsidRDefault="00AD3A1C" w:rsidP="00FD61DF">
      <w:pPr>
        <w:pStyle w:val="Balk1"/>
        <w:ind w:left="642" w:right="744"/>
        <w:jc w:val="center"/>
      </w:pPr>
      <w:bookmarkStart w:id="4" w:name="İKİNCİ_BÖLÜM"/>
      <w:bookmarkEnd w:id="4"/>
      <w:r>
        <w:t>İKİNCİ BÖLÜM</w:t>
      </w:r>
    </w:p>
    <w:p w14:paraId="5FB646BD" w14:textId="77777777" w:rsidR="00297C0A" w:rsidRDefault="00AD3A1C" w:rsidP="00FD61DF">
      <w:pPr>
        <w:spacing w:before="44"/>
        <w:ind w:left="653" w:right="255"/>
        <w:jc w:val="center"/>
        <w:rPr>
          <w:b/>
          <w:sz w:val="24"/>
        </w:rPr>
      </w:pPr>
      <w:r>
        <w:rPr>
          <w:b/>
          <w:sz w:val="24"/>
        </w:rPr>
        <w:t>Komisyonun Oluşumu, Görevleri ve Ça</w:t>
      </w:r>
      <w:r>
        <w:rPr>
          <w:b/>
          <w:sz w:val="24"/>
        </w:rPr>
        <w:t>lışma Esasları</w:t>
      </w:r>
    </w:p>
    <w:p w14:paraId="6EC497A7" w14:textId="77777777" w:rsidR="00297C0A" w:rsidRDefault="00297C0A" w:rsidP="00FD61DF">
      <w:pPr>
        <w:pStyle w:val="GvdeMetni"/>
        <w:spacing w:before="1"/>
        <w:jc w:val="both"/>
        <w:rPr>
          <w:b/>
          <w:sz w:val="31"/>
        </w:rPr>
      </w:pPr>
    </w:p>
    <w:p w14:paraId="06FACE18" w14:textId="77777777" w:rsidR="00297C0A" w:rsidRDefault="00AD3A1C" w:rsidP="00FD61DF">
      <w:pPr>
        <w:ind w:left="824"/>
        <w:jc w:val="both"/>
        <w:rPr>
          <w:b/>
          <w:sz w:val="24"/>
        </w:rPr>
      </w:pPr>
      <w:r>
        <w:rPr>
          <w:b/>
          <w:sz w:val="24"/>
        </w:rPr>
        <w:t>Komisyon</w:t>
      </w:r>
    </w:p>
    <w:p w14:paraId="5EC11BE6" w14:textId="77777777" w:rsidR="00297C0A" w:rsidRDefault="00AD3A1C" w:rsidP="00FD61DF">
      <w:pPr>
        <w:pStyle w:val="GvdeMetni"/>
        <w:spacing w:before="33" w:line="276" w:lineRule="auto"/>
        <w:ind w:left="115" w:right="208" w:firstLine="708"/>
        <w:jc w:val="both"/>
      </w:pPr>
      <w:r>
        <w:rPr>
          <w:b/>
        </w:rPr>
        <w:t xml:space="preserve">MADDE 5 - </w:t>
      </w:r>
      <w:r>
        <w:t>(1) Mevzuat Komisyonu, Rektör tarafından görevlendirilen; bir Rektör Yardımcısı, Hukuk Fakültesi öğretim üyeleri arasından veya Hukuk Fakülesi lisans/lisansüstü eğitimi almış en az bir üye, Hukuk Müşaviri veya görevlendir</w:t>
      </w:r>
      <w:r>
        <w:t>eceği bir Avukat, ve öğretim üyeleri arasından seçilen 2 üye olmak üzere 5 üyeden oluşur.</w:t>
      </w:r>
    </w:p>
    <w:p w14:paraId="315834B3" w14:textId="77777777" w:rsidR="00297C0A" w:rsidRDefault="00AD3A1C" w:rsidP="00FD61DF">
      <w:pPr>
        <w:pStyle w:val="ListeParagraf"/>
        <w:numPr>
          <w:ilvl w:val="0"/>
          <w:numId w:val="3"/>
        </w:numPr>
        <w:tabs>
          <w:tab w:val="left" w:pos="1194"/>
        </w:tabs>
        <w:spacing w:line="278" w:lineRule="auto"/>
        <w:ind w:left="115" w:right="98" w:firstLine="708"/>
        <w:jc w:val="both"/>
        <w:rPr>
          <w:sz w:val="24"/>
        </w:rPr>
      </w:pPr>
      <w:r>
        <w:rPr>
          <w:sz w:val="24"/>
        </w:rPr>
        <w:t>Komisyon üyelerinin görev süresi 3 yıldır. Görevi sona eren üye tekrar atanabilir veya yerine başka bir üye</w:t>
      </w:r>
      <w:r>
        <w:rPr>
          <w:spacing w:val="4"/>
          <w:sz w:val="24"/>
        </w:rPr>
        <w:t xml:space="preserve"> </w:t>
      </w:r>
      <w:r>
        <w:rPr>
          <w:sz w:val="24"/>
        </w:rPr>
        <w:t>atanır.</w:t>
      </w:r>
    </w:p>
    <w:p w14:paraId="1FEA9151" w14:textId="77777777" w:rsidR="00297C0A" w:rsidRDefault="00AD3A1C" w:rsidP="00FD61DF">
      <w:pPr>
        <w:pStyle w:val="ListeParagraf"/>
        <w:numPr>
          <w:ilvl w:val="0"/>
          <w:numId w:val="3"/>
        </w:numPr>
        <w:tabs>
          <w:tab w:val="left" w:pos="1242"/>
        </w:tabs>
        <w:spacing w:before="20" w:line="275" w:lineRule="exact"/>
        <w:ind w:left="1241" w:hanging="419"/>
        <w:jc w:val="both"/>
        <w:rPr>
          <w:color w:val="303030"/>
          <w:sz w:val="24"/>
        </w:rPr>
      </w:pPr>
      <w:r>
        <w:rPr>
          <w:color w:val="303030"/>
          <w:sz w:val="24"/>
        </w:rPr>
        <w:t>Senato</w:t>
      </w:r>
      <w:r>
        <w:rPr>
          <w:color w:val="303030"/>
          <w:spacing w:val="17"/>
          <w:sz w:val="24"/>
        </w:rPr>
        <w:t xml:space="preserve"> </w:t>
      </w:r>
      <w:r>
        <w:rPr>
          <w:color w:val="303030"/>
          <w:sz w:val="24"/>
        </w:rPr>
        <w:t>tarafından</w:t>
      </w:r>
      <w:r>
        <w:rPr>
          <w:color w:val="303030"/>
          <w:spacing w:val="17"/>
          <w:sz w:val="24"/>
        </w:rPr>
        <w:t xml:space="preserve"> </w:t>
      </w:r>
      <w:r>
        <w:rPr>
          <w:color w:val="303030"/>
          <w:sz w:val="24"/>
        </w:rPr>
        <w:t>bu</w:t>
      </w:r>
      <w:r>
        <w:rPr>
          <w:color w:val="303030"/>
          <w:spacing w:val="18"/>
          <w:sz w:val="24"/>
        </w:rPr>
        <w:t xml:space="preserve"> </w:t>
      </w:r>
      <w:r>
        <w:rPr>
          <w:color w:val="303030"/>
          <w:sz w:val="24"/>
        </w:rPr>
        <w:t>maddenin</w:t>
      </w:r>
      <w:r>
        <w:rPr>
          <w:color w:val="303030"/>
          <w:spacing w:val="17"/>
          <w:sz w:val="24"/>
        </w:rPr>
        <w:t xml:space="preserve"> </w:t>
      </w:r>
      <w:r>
        <w:rPr>
          <w:color w:val="303030"/>
          <w:sz w:val="24"/>
        </w:rPr>
        <w:t>1.</w:t>
      </w:r>
      <w:r>
        <w:rPr>
          <w:color w:val="303030"/>
          <w:spacing w:val="18"/>
          <w:sz w:val="24"/>
        </w:rPr>
        <w:t xml:space="preserve"> </w:t>
      </w:r>
      <w:r>
        <w:rPr>
          <w:color w:val="303030"/>
          <w:sz w:val="24"/>
        </w:rPr>
        <w:t>Bendindeki</w:t>
      </w:r>
      <w:r>
        <w:rPr>
          <w:color w:val="303030"/>
          <w:spacing w:val="17"/>
          <w:sz w:val="24"/>
        </w:rPr>
        <w:t xml:space="preserve"> </w:t>
      </w:r>
      <w:r>
        <w:rPr>
          <w:color w:val="303030"/>
          <w:sz w:val="24"/>
        </w:rPr>
        <w:t>değişi</w:t>
      </w:r>
      <w:r>
        <w:rPr>
          <w:color w:val="303030"/>
          <w:sz w:val="24"/>
        </w:rPr>
        <w:t>klikler</w:t>
      </w:r>
      <w:r>
        <w:rPr>
          <w:color w:val="303030"/>
          <w:spacing w:val="16"/>
          <w:sz w:val="24"/>
        </w:rPr>
        <w:t xml:space="preserve"> </w:t>
      </w:r>
      <w:r>
        <w:rPr>
          <w:color w:val="303030"/>
          <w:sz w:val="24"/>
        </w:rPr>
        <w:t>gerekli</w:t>
      </w:r>
      <w:r>
        <w:rPr>
          <w:color w:val="303030"/>
          <w:spacing w:val="18"/>
          <w:sz w:val="24"/>
        </w:rPr>
        <w:t xml:space="preserve"> </w:t>
      </w:r>
      <w:r>
        <w:rPr>
          <w:color w:val="303030"/>
          <w:sz w:val="24"/>
        </w:rPr>
        <w:t>görüldüğü</w:t>
      </w:r>
    </w:p>
    <w:p w14:paraId="04D5A58C" w14:textId="77777777" w:rsidR="00297C0A" w:rsidRDefault="00AD3A1C" w:rsidP="00FD61DF">
      <w:pPr>
        <w:pStyle w:val="GvdeMetni"/>
        <w:spacing w:line="275" w:lineRule="exact"/>
        <w:ind w:left="823"/>
        <w:jc w:val="both"/>
      </w:pPr>
      <w:r>
        <w:rPr>
          <w:color w:val="303030"/>
        </w:rPr>
        <w:t>takdirde yapılabilir.</w:t>
      </w:r>
    </w:p>
    <w:p w14:paraId="133CAC87" w14:textId="77777777" w:rsidR="00297C0A" w:rsidRDefault="00AD3A1C" w:rsidP="00FD61DF">
      <w:pPr>
        <w:pStyle w:val="Balk1"/>
        <w:spacing w:before="161"/>
        <w:ind w:left="823"/>
        <w:jc w:val="both"/>
      </w:pPr>
      <w:bookmarkStart w:id="5" w:name="Komisyonun_görevleri"/>
      <w:bookmarkEnd w:id="5"/>
      <w:r>
        <w:t>Komisyonun görevleri</w:t>
      </w:r>
    </w:p>
    <w:p w14:paraId="19B36128" w14:textId="77777777" w:rsidR="00297C0A" w:rsidRDefault="00AD3A1C" w:rsidP="00FD61DF">
      <w:pPr>
        <w:pStyle w:val="GvdeMetni"/>
        <w:spacing w:before="58" w:line="259" w:lineRule="auto"/>
        <w:ind w:left="115" w:firstLine="708"/>
        <w:jc w:val="both"/>
      </w:pPr>
      <w:r>
        <w:rPr>
          <w:b/>
        </w:rPr>
        <w:t xml:space="preserve">MADDE 6 - </w:t>
      </w:r>
      <w:r>
        <w:t>(1) Komisyon</w:t>
      </w:r>
      <w:r>
        <w:rPr>
          <w:color w:val="303030"/>
        </w:rPr>
        <w:t>, mevzuat çalışmaları kapsamında aşağıdaki faaliyetleri gerçekleştirir:</w:t>
      </w:r>
    </w:p>
    <w:p w14:paraId="11A2F228" w14:textId="77777777" w:rsidR="00297C0A" w:rsidRDefault="00AD3A1C" w:rsidP="00FD61DF">
      <w:pPr>
        <w:pStyle w:val="ListeParagraf"/>
        <w:numPr>
          <w:ilvl w:val="0"/>
          <w:numId w:val="2"/>
        </w:numPr>
        <w:tabs>
          <w:tab w:val="left" w:pos="1074"/>
        </w:tabs>
        <w:spacing w:before="133"/>
        <w:jc w:val="both"/>
        <w:rPr>
          <w:sz w:val="24"/>
        </w:rPr>
      </w:pPr>
      <w:r>
        <w:rPr>
          <w:sz w:val="24"/>
        </w:rPr>
        <w:t>İhtiyaç duyulan alanlarda yönetmelik, yönerge ve diğer mevzuat önerisi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çalışmaları</w:t>
      </w:r>
    </w:p>
    <w:p w14:paraId="3330ABF8" w14:textId="77777777" w:rsidR="00297C0A" w:rsidRDefault="00AD3A1C" w:rsidP="00FD61DF">
      <w:pPr>
        <w:pStyle w:val="GvdeMetni"/>
        <w:spacing w:before="41"/>
        <w:ind w:left="116"/>
        <w:jc w:val="both"/>
      </w:pPr>
      <w:r>
        <w:t>yapmak,</w:t>
      </w:r>
    </w:p>
    <w:p w14:paraId="6D420ED9" w14:textId="77777777" w:rsidR="00297C0A" w:rsidRDefault="00AD3A1C" w:rsidP="00FD61DF">
      <w:pPr>
        <w:pStyle w:val="ListeParagraf"/>
        <w:numPr>
          <w:ilvl w:val="0"/>
          <w:numId w:val="2"/>
        </w:numPr>
        <w:tabs>
          <w:tab w:val="left" w:pos="1112"/>
        </w:tabs>
        <w:spacing w:before="41" w:line="278" w:lineRule="auto"/>
        <w:ind w:left="115" w:right="216" w:firstLine="708"/>
        <w:jc w:val="both"/>
        <w:rPr>
          <w:sz w:val="24"/>
        </w:rPr>
      </w:pPr>
      <w:r>
        <w:rPr>
          <w:sz w:val="24"/>
        </w:rPr>
        <w:t>Üniversite için kabul edilmiş bulunan düzenlemeleri yenilemek, gözden geçirerek sadeleştirmek ve birbiri ile uyumunu</w:t>
      </w:r>
      <w:r>
        <w:rPr>
          <w:spacing w:val="-10"/>
          <w:sz w:val="24"/>
        </w:rPr>
        <w:t xml:space="preserve"> </w:t>
      </w:r>
      <w:r>
        <w:rPr>
          <w:sz w:val="24"/>
        </w:rPr>
        <w:t>sağlamak,</w:t>
      </w:r>
    </w:p>
    <w:p w14:paraId="1A409F28" w14:textId="77777777" w:rsidR="00297C0A" w:rsidRDefault="00297C0A" w:rsidP="00FD61DF">
      <w:pPr>
        <w:spacing w:line="278" w:lineRule="auto"/>
        <w:jc w:val="both"/>
        <w:rPr>
          <w:sz w:val="24"/>
        </w:rPr>
        <w:sectPr w:rsidR="00297C0A" w:rsidSect="00FD61DF">
          <w:headerReference w:type="default" r:id="rId8"/>
          <w:type w:val="continuous"/>
          <w:pgSz w:w="11920" w:h="16850"/>
          <w:pgMar w:top="1300" w:right="1005" w:bottom="280" w:left="1300" w:header="715" w:footer="708" w:gutter="0"/>
          <w:cols w:space="708"/>
        </w:sectPr>
      </w:pPr>
    </w:p>
    <w:p w14:paraId="3C2692FB" w14:textId="77777777" w:rsidR="00297C0A" w:rsidRDefault="00AD3A1C" w:rsidP="00FD61DF">
      <w:pPr>
        <w:pStyle w:val="ListeParagraf"/>
        <w:numPr>
          <w:ilvl w:val="0"/>
          <w:numId w:val="2"/>
        </w:numPr>
        <w:tabs>
          <w:tab w:val="left" w:pos="1144"/>
        </w:tabs>
        <w:spacing w:before="80"/>
        <w:ind w:left="1143" w:hanging="320"/>
        <w:jc w:val="both"/>
        <w:rPr>
          <w:color w:val="303030"/>
          <w:sz w:val="24"/>
        </w:rPr>
      </w:pPr>
      <w:r>
        <w:rPr>
          <w:color w:val="303030"/>
          <w:sz w:val="24"/>
        </w:rPr>
        <w:lastRenderedPageBreak/>
        <w:t>İlgili kurullardan gelen mevzuat değişiklik taleplerinin mevzuata</w:t>
      </w:r>
      <w:r>
        <w:rPr>
          <w:color w:val="303030"/>
          <w:spacing w:val="7"/>
          <w:sz w:val="24"/>
        </w:rPr>
        <w:t xml:space="preserve"> </w:t>
      </w:r>
      <w:r>
        <w:rPr>
          <w:color w:val="303030"/>
          <w:sz w:val="24"/>
        </w:rPr>
        <w:t>uygunluğunu</w:t>
      </w:r>
    </w:p>
    <w:p w14:paraId="2EE16BAB" w14:textId="77777777" w:rsidR="00297C0A" w:rsidRDefault="00AD3A1C" w:rsidP="00FD61DF">
      <w:pPr>
        <w:pStyle w:val="GvdeMetni"/>
        <w:spacing w:before="45"/>
        <w:ind w:left="115"/>
        <w:jc w:val="both"/>
      </w:pPr>
      <w:r>
        <w:rPr>
          <w:color w:val="303030"/>
        </w:rPr>
        <w:t>kontrol etmek ve gerekli düzeltmeleri yapmak.</w:t>
      </w:r>
    </w:p>
    <w:p w14:paraId="18EC59B6" w14:textId="77777777" w:rsidR="00297C0A" w:rsidRDefault="00297C0A" w:rsidP="00FD61DF">
      <w:pPr>
        <w:pStyle w:val="GvdeMetni"/>
        <w:spacing w:before="11"/>
        <w:jc w:val="both"/>
        <w:rPr>
          <w:sz w:val="31"/>
        </w:rPr>
      </w:pPr>
    </w:p>
    <w:p w14:paraId="3E3A65BF" w14:textId="77777777" w:rsidR="00297C0A" w:rsidRDefault="00AD3A1C" w:rsidP="00FD61DF">
      <w:pPr>
        <w:pStyle w:val="Balk1"/>
        <w:jc w:val="both"/>
      </w:pPr>
      <w:bookmarkStart w:id="6" w:name="Komisyonun_çalışma_esasları"/>
      <w:bookmarkEnd w:id="6"/>
      <w:r>
        <w:t>Komisyonun çalışma esasları</w:t>
      </w:r>
    </w:p>
    <w:p w14:paraId="615E26ED" w14:textId="77777777" w:rsidR="00297C0A" w:rsidRDefault="00AD3A1C" w:rsidP="00FD61DF">
      <w:pPr>
        <w:pStyle w:val="GvdeMetni"/>
        <w:spacing w:before="31" w:line="276" w:lineRule="auto"/>
        <w:ind w:left="116" w:right="217" w:firstLine="708"/>
        <w:jc w:val="both"/>
      </w:pPr>
      <w:r>
        <w:rPr>
          <w:b/>
        </w:rPr>
        <w:t>M</w:t>
      </w:r>
      <w:r>
        <w:rPr>
          <w:b/>
        </w:rPr>
        <w:t xml:space="preserve">ADDE 7 - </w:t>
      </w:r>
      <w:r>
        <w:t>(1) Komisyona Rektör tarafından görevlendirilen Rektör Yardımcısı başkanlık eder. Komisyon, ilgili Rektör Yardımcısının talebi üzerine ve başkanlığında, üyelerinsalt çoğunluğu ile toplanır. Oy çokluğu ile karar alır.</w:t>
      </w:r>
    </w:p>
    <w:p w14:paraId="74084A6E" w14:textId="77777777" w:rsidR="00297C0A" w:rsidRDefault="00AD3A1C" w:rsidP="00FD61DF">
      <w:pPr>
        <w:pStyle w:val="ListeParagraf"/>
        <w:numPr>
          <w:ilvl w:val="0"/>
          <w:numId w:val="1"/>
        </w:numPr>
        <w:tabs>
          <w:tab w:val="left" w:pos="1146"/>
        </w:tabs>
        <w:spacing w:before="8" w:line="273" w:lineRule="auto"/>
        <w:ind w:left="115" w:right="211" w:firstLine="708"/>
        <w:jc w:val="both"/>
        <w:rPr>
          <w:rFonts w:ascii="Calibri" w:hAnsi="Calibri"/>
        </w:rPr>
      </w:pPr>
      <w:r>
        <w:rPr>
          <w:sz w:val="24"/>
        </w:rPr>
        <w:t xml:space="preserve">Rektörlük veya üniversite birimleri tarafından komisyona günderilen, yeni yönerge, mevzuat çalışmaları ile mevcut düzenlemelerdeki değişiklik ve düzeltme çalışmalarıyla ilgili hazırlanan öneriler, sekreterya tarafından incelenmek üzere üyelere gönderilir. </w:t>
      </w:r>
      <w:r>
        <w:rPr>
          <w:sz w:val="24"/>
        </w:rPr>
        <w:t>Belirlenen gün ve saatte komisyon toplantıya çağrılır. Komisyon toplanarak gündemdeki konuları görüşüp gerekli düzenlemeleri yapar. Komisyonda kabul edilen öneriler senatonun onayına</w:t>
      </w:r>
      <w:r>
        <w:rPr>
          <w:spacing w:val="-24"/>
          <w:sz w:val="24"/>
        </w:rPr>
        <w:t xml:space="preserve"> </w:t>
      </w:r>
      <w:r>
        <w:rPr>
          <w:sz w:val="24"/>
        </w:rPr>
        <w:t>sunulur.</w:t>
      </w:r>
    </w:p>
    <w:p w14:paraId="7D1C5338" w14:textId="77777777" w:rsidR="00297C0A" w:rsidRDefault="00AD3A1C" w:rsidP="00FD61DF">
      <w:pPr>
        <w:pStyle w:val="ListeParagraf"/>
        <w:numPr>
          <w:ilvl w:val="0"/>
          <w:numId w:val="1"/>
        </w:numPr>
        <w:tabs>
          <w:tab w:val="left" w:pos="1163"/>
        </w:tabs>
        <w:spacing w:before="9"/>
        <w:ind w:left="1162" w:hanging="339"/>
        <w:jc w:val="both"/>
        <w:rPr>
          <w:sz w:val="24"/>
        </w:rPr>
      </w:pPr>
      <w:r>
        <w:rPr>
          <w:sz w:val="24"/>
        </w:rPr>
        <w:t>Komisyonun sekretarya işleri Hukuk Müşavirliği tarafından</w:t>
      </w:r>
      <w:r>
        <w:rPr>
          <w:spacing w:val="-8"/>
          <w:sz w:val="24"/>
        </w:rPr>
        <w:t xml:space="preserve"> </w:t>
      </w:r>
      <w:r>
        <w:rPr>
          <w:sz w:val="24"/>
        </w:rPr>
        <w:t>yürütü</w:t>
      </w:r>
      <w:r>
        <w:rPr>
          <w:sz w:val="24"/>
        </w:rPr>
        <w:t>lür.</w:t>
      </w:r>
    </w:p>
    <w:p w14:paraId="42B195E3" w14:textId="77777777" w:rsidR="00297C0A" w:rsidRDefault="00AD3A1C" w:rsidP="00FD61DF">
      <w:pPr>
        <w:pStyle w:val="ListeParagraf"/>
        <w:numPr>
          <w:ilvl w:val="0"/>
          <w:numId w:val="1"/>
        </w:numPr>
        <w:tabs>
          <w:tab w:val="left" w:pos="1158"/>
        </w:tabs>
        <w:spacing w:before="40"/>
        <w:ind w:left="1157" w:hanging="334"/>
        <w:jc w:val="both"/>
        <w:rPr>
          <w:sz w:val="24"/>
        </w:rPr>
      </w:pPr>
      <w:r>
        <w:rPr>
          <w:sz w:val="24"/>
        </w:rPr>
        <w:t>Komisyonda</w:t>
      </w:r>
      <w:r>
        <w:rPr>
          <w:spacing w:val="-3"/>
          <w:sz w:val="24"/>
        </w:rPr>
        <w:t xml:space="preserve"> </w:t>
      </w:r>
      <w:r>
        <w:rPr>
          <w:sz w:val="24"/>
        </w:rPr>
        <w:t>görüşülen</w:t>
      </w:r>
      <w:r>
        <w:rPr>
          <w:spacing w:val="-7"/>
          <w:sz w:val="24"/>
        </w:rPr>
        <w:t xml:space="preserve"> </w:t>
      </w:r>
      <w:r>
        <w:rPr>
          <w:sz w:val="24"/>
        </w:rPr>
        <w:t>konuya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11"/>
          <w:sz w:val="24"/>
        </w:rPr>
        <w:t xml:space="preserve"> </w:t>
      </w:r>
      <w:r>
        <w:rPr>
          <w:sz w:val="24"/>
        </w:rPr>
        <w:t>ihtiyaç</w:t>
      </w:r>
      <w:r>
        <w:rPr>
          <w:spacing w:val="-8"/>
          <w:sz w:val="24"/>
        </w:rPr>
        <w:t xml:space="preserve"> </w:t>
      </w:r>
      <w:r>
        <w:rPr>
          <w:sz w:val="24"/>
        </w:rPr>
        <w:t>duyulan</w:t>
      </w:r>
      <w:r>
        <w:rPr>
          <w:spacing w:val="-7"/>
          <w:sz w:val="24"/>
        </w:rPr>
        <w:t xml:space="preserve"> </w:t>
      </w:r>
      <w:r>
        <w:rPr>
          <w:sz w:val="24"/>
        </w:rPr>
        <w:t>birim yöneticilerinden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</w:p>
    <w:p w14:paraId="31CFF9C3" w14:textId="77777777" w:rsidR="00297C0A" w:rsidRDefault="00AD3A1C" w:rsidP="00FD61DF">
      <w:pPr>
        <w:pStyle w:val="GvdeMetni"/>
        <w:spacing w:before="41"/>
        <w:ind w:left="115"/>
        <w:jc w:val="both"/>
      </w:pPr>
      <w:r>
        <w:t>birkaçı, görüş alınmak üzere toplantıya katılmak üzere davet edilebilir</w:t>
      </w:r>
    </w:p>
    <w:p w14:paraId="12AD6E95" w14:textId="77777777" w:rsidR="00297C0A" w:rsidRDefault="00297C0A" w:rsidP="00FD61DF">
      <w:pPr>
        <w:pStyle w:val="GvdeMetni"/>
        <w:jc w:val="both"/>
        <w:rPr>
          <w:sz w:val="26"/>
        </w:rPr>
      </w:pPr>
    </w:p>
    <w:p w14:paraId="2277FB36" w14:textId="77777777" w:rsidR="00297C0A" w:rsidRDefault="00297C0A" w:rsidP="00FD61DF">
      <w:pPr>
        <w:pStyle w:val="GvdeMetni"/>
        <w:spacing w:before="8"/>
        <w:jc w:val="both"/>
        <w:rPr>
          <w:sz w:val="33"/>
        </w:rPr>
      </w:pPr>
    </w:p>
    <w:p w14:paraId="6FECF91E" w14:textId="77777777" w:rsidR="00297C0A" w:rsidRDefault="00AD3A1C" w:rsidP="00FD61DF">
      <w:pPr>
        <w:pStyle w:val="Balk1"/>
        <w:ind w:left="653" w:right="740"/>
        <w:jc w:val="center"/>
      </w:pPr>
      <w:bookmarkStart w:id="7" w:name="ÜÇÜNCÜ_BÖLÜM"/>
      <w:bookmarkEnd w:id="7"/>
      <w:r>
        <w:t>ÜÇÜNCÜ BÖLÜM</w:t>
      </w:r>
    </w:p>
    <w:p w14:paraId="711DDE12" w14:textId="77777777" w:rsidR="00297C0A" w:rsidRDefault="00AD3A1C" w:rsidP="00FD61DF">
      <w:pPr>
        <w:spacing w:before="43"/>
        <w:ind w:left="525" w:right="744"/>
        <w:jc w:val="center"/>
        <w:rPr>
          <w:b/>
          <w:sz w:val="24"/>
        </w:rPr>
      </w:pPr>
      <w:r>
        <w:rPr>
          <w:b/>
          <w:sz w:val="24"/>
        </w:rPr>
        <w:t>Son Hükümler</w:t>
      </w:r>
    </w:p>
    <w:p w14:paraId="21DD4137" w14:textId="77777777" w:rsidR="00297C0A" w:rsidRDefault="00297C0A" w:rsidP="00FD61DF">
      <w:pPr>
        <w:pStyle w:val="GvdeMetni"/>
        <w:spacing w:before="1"/>
        <w:jc w:val="both"/>
        <w:rPr>
          <w:b/>
          <w:sz w:val="31"/>
        </w:rPr>
      </w:pPr>
    </w:p>
    <w:p w14:paraId="401BAB61" w14:textId="77777777" w:rsidR="00297C0A" w:rsidRDefault="00AD3A1C" w:rsidP="00FD61DF">
      <w:pPr>
        <w:spacing w:before="1"/>
        <w:ind w:left="824"/>
        <w:jc w:val="both"/>
        <w:rPr>
          <w:b/>
          <w:sz w:val="24"/>
        </w:rPr>
      </w:pPr>
      <w:r>
        <w:rPr>
          <w:b/>
          <w:sz w:val="24"/>
        </w:rPr>
        <w:t>Yürürlük</w:t>
      </w:r>
    </w:p>
    <w:p w14:paraId="008A7E43" w14:textId="77777777" w:rsidR="00297C0A" w:rsidRDefault="00AD3A1C" w:rsidP="00FD61DF">
      <w:pPr>
        <w:pStyle w:val="GvdeMetni"/>
        <w:spacing w:before="31"/>
        <w:ind w:left="824"/>
        <w:jc w:val="both"/>
      </w:pPr>
      <w:r>
        <w:rPr>
          <w:b/>
        </w:rPr>
        <w:t xml:space="preserve">MADDE 8– </w:t>
      </w:r>
      <w:r>
        <w:t>(1) Bu Yönerge, Senato tarafından kabul edildiği tarihte yürürlüğe girer.</w:t>
      </w:r>
    </w:p>
    <w:p w14:paraId="5C1A7188" w14:textId="77777777" w:rsidR="00297C0A" w:rsidRDefault="00297C0A" w:rsidP="00FD61DF">
      <w:pPr>
        <w:pStyle w:val="GvdeMetni"/>
        <w:spacing w:before="10"/>
        <w:jc w:val="both"/>
        <w:rPr>
          <w:sz w:val="31"/>
        </w:rPr>
      </w:pPr>
    </w:p>
    <w:p w14:paraId="7D825A27" w14:textId="77777777" w:rsidR="00297C0A" w:rsidRDefault="00AD3A1C" w:rsidP="00FD61DF">
      <w:pPr>
        <w:pStyle w:val="Balk1"/>
        <w:spacing w:before="1"/>
        <w:jc w:val="both"/>
      </w:pPr>
      <w:bookmarkStart w:id="8" w:name="Yürütme"/>
      <w:bookmarkEnd w:id="8"/>
      <w:r>
        <w:t>Yürütme</w:t>
      </w:r>
    </w:p>
    <w:p w14:paraId="0CC9771E" w14:textId="77777777" w:rsidR="00297C0A" w:rsidRDefault="00AD3A1C" w:rsidP="00FD61DF">
      <w:pPr>
        <w:pStyle w:val="GvdeMetni"/>
        <w:spacing w:before="33"/>
        <w:ind w:left="823"/>
        <w:jc w:val="both"/>
      </w:pPr>
      <w:r>
        <w:rPr>
          <w:b/>
        </w:rPr>
        <w:t xml:space="preserve">MADDE 9 – </w:t>
      </w:r>
      <w:r>
        <w:t>(1) Bu Yönerge hükümleri, Rektör tarafından yürütülür.</w:t>
      </w:r>
    </w:p>
    <w:p w14:paraId="27EB7192" w14:textId="77777777" w:rsidR="00297C0A" w:rsidRDefault="00297C0A" w:rsidP="00FD61DF">
      <w:pPr>
        <w:pStyle w:val="GvdeMetni"/>
        <w:jc w:val="both"/>
        <w:rPr>
          <w:sz w:val="20"/>
        </w:rPr>
      </w:pPr>
    </w:p>
    <w:p w14:paraId="0E70C64F" w14:textId="77777777" w:rsidR="00297C0A" w:rsidRDefault="00297C0A">
      <w:pPr>
        <w:pStyle w:val="GvdeMetni"/>
        <w:spacing w:before="8"/>
        <w:rPr>
          <w:sz w:val="23"/>
        </w:rPr>
      </w:pPr>
    </w:p>
    <w:p w14:paraId="580F24B0" w14:textId="77777777" w:rsidR="00FD61DF" w:rsidRDefault="00FD61DF" w:rsidP="00FD61DF">
      <w:pPr>
        <w:pStyle w:val="Default"/>
      </w:pPr>
    </w:p>
    <w:p w14:paraId="5940BF8E" w14:textId="13FA2697" w:rsidR="00AD3A1C" w:rsidRDefault="00FD61DF" w:rsidP="00FD61DF">
      <w:r>
        <w:t xml:space="preserve"> </w:t>
      </w:r>
      <w:r>
        <w:t>*</w:t>
      </w:r>
      <w:r>
        <w:rPr>
          <w:b/>
          <w:bCs/>
        </w:rPr>
        <w:t>25/08/2017 tarihli 07 sayılı Senato toplantısında alınan 21 sayılı kararın ekidir.</w:t>
      </w:r>
    </w:p>
    <w:sectPr w:rsidR="00AD3A1C" w:rsidSect="00FD61DF">
      <w:pgSz w:w="11920" w:h="16850"/>
      <w:pgMar w:top="1300" w:right="1005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C134" w14:textId="77777777" w:rsidR="00AD3A1C" w:rsidRDefault="00AD3A1C">
      <w:r>
        <w:separator/>
      </w:r>
    </w:p>
  </w:endnote>
  <w:endnote w:type="continuationSeparator" w:id="0">
    <w:p w14:paraId="2AB516C0" w14:textId="77777777" w:rsidR="00AD3A1C" w:rsidRDefault="00AD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B8AB" w14:textId="77777777" w:rsidR="00AD3A1C" w:rsidRDefault="00AD3A1C">
      <w:r>
        <w:separator/>
      </w:r>
    </w:p>
  </w:footnote>
  <w:footnote w:type="continuationSeparator" w:id="0">
    <w:p w14:paraId="5A2DF05C" w14:textId="77777777" w:rsidR="00AD3A1C" w:rsidRDefault="00AD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E8F" w14:textId="0A755461" w:rsidR="00297C0A" w:rsidRDefault="00FD61D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49326" wp14:editId="6186C661">
              <wp:simplePos x="0" y="0"/>
              <wp:positionH relativeFrom="page">
                <wp:posOffset>813435</wp:posOffset>
              </wp:positionH>
              <wp:positionV relativeFrom="page">
                <wp:posOffset>441325</wp:posOffset>
              </wp:positionV>
              <wp:extent cx="46951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DF51D" w14:textId="7A1EDA1B" w:rsidR="00297C0A" w:rsidRDefault="00297C0A" w:rsidP="00FD61DF">
                          <w:pPr>
                            <w:spacing w:before="1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93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05pt;margin-top:34.75pt;width:36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" filled="f" stroked="f">
              <v:textbox inset="0,0,0,0">
                <w:txbxContent>
                  <w:p w14:paraId="5C3DF51D" w14:textId="7A1EDA1B" w:rsidR="00297C0A" w:rsidRDefault="00297C0A" w:rsidP="00FD61DF">
                    <w:pPr>
                      <w:spacing w:before="1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5E6"/>
    <w:multiLevelType w:val="hybridMultilevel"/>
    <w:tmpl w:val="42A4EA5C"/>
    <w:lvl w:ilvl="0" w:tplc="5F363878">
      <w:start w:val="1"/>
      <w:numFmt w:val="lowerLetter"/>
      <w:lvlText w:val="%1)"/>
      <w:lvlJc w:val="left"/>
      <w:pPr>
        <w:ind w:left="1073" w:hanging="250"/>
        <w:jc w:val="left"/>
      </w:pPr>
      <w:rPr>
        <w:rFonts w:hint="default"/>
        <w:spacing w:val="-3"/>
        <w:w w:val="98"/>
      </w:rPr>
    </w:lvl>
    <w:lvl w:ilvl="1" w:tplc="D7CA142A">
      <w:numFmt w:val="bullet"/>
      <w:lvlText w:val="•"/>
      <w:lvlJc w:val="left"/>
      <w:pPr>
        <w:ind w:left="1913" w:hanging="250"/>
      </w:pPr>
      <w:rPr>
        <w:rFonts w:hint="default"/>
      </w:rPr>
    </w:lvl>
    <w:lvl w:ilvl="2" w:tplc="E114712A">
      <w:numFmt w:val="bullet"/>
      <w:lvlText w:val="•"/>
      <w:lvlJc w:val="left"/>
      <w:pPr>
        <w:ind w:left="2746" w:hanging="250"/>
      </w:pPr>
      <w:rPr>
        <w:rFonts w:hint="default"/>
      </w:rPr>
    </w:lvl>
    <w:lvl w:ilvl="3" w:tplc="E8CED3C8">
      <w:numFmt w:val="bullet"/>
      <w:lvlText w:val="•"/>
      <w:lvlJc w:val="left"/>
      <w:pPr>
        <w:ind w:left="3579" w:hanging="250"/>
      </w:pPr>
      <w:rPr>
        <w:rFonts w:hint="default"/>
      </w:rPr>
    </w:lvl>
    <w:lvl w:ilvl="4" w:tplc="29807104">
      <w:numFmt w:val="bullet"/>
      <w:lvlText w:val="•"/>
      <w:lvlJc w:val="left"/>
      <w:pPr>
        <w:ind w:left="4412" w:hanging="250"/>
      </w:pPr>
      <w:rPr>
        <w:rFonts w:hint="default"/>
      </w:rPr>
    </w:lvl>
    <w:lvl w:ilvl="5" w:tplc="3EEEA9F2">
      <w:numFmt w:val="bullet"/>
      <w:lvlText w:val="•"/>
      <w:lvlJc w:val="left"/>
      <w:pPr>
        <w:ind w:left="5245" w:hanging="250"/>
      </w:pPr>
      <w:rPr>
        <w:rFonts w:hint="default"/>
      </w:rPr>
    </w:lvl>
    <w:lvl w:ilvl="6" w:tplc="5AD4F94A">
      <w:numFmt w:val="bullet"/>
      <w:lvlText w:val="•"/>
      <w:lvlJc w:val="left"/>
      <w:pPr>
        <w:ind w:left="6078" w:hanging="250"/>
      </w:pPr>
      <w:rPr>
        <w:rFonts w:hint="default"/>
      </w:rPr>
    </w:lvl>
    <w:lvl w:ilvl="7" w:tplc="27AC4DA2">
      <w:numFmt w:val="bullet"/>
      <w:lvlText w:val="•"/>
      <w:lvlJc w:val="left"/>
      <w:pPr>
        <w:ind w:left="6911" w:hanging="250"/>
      </w:pPr>
      <w:rPr>
        <w:rFonts w:hint="default"/>
      </w:rPr>
    </w:lvl>
    <w:lvl w:ilvl="8" w:tplc="BEFEC8D8">
      <w:numFmt w:val="bullet"/>
      <w:lvlText w:val="•"/>
      <w:lvlJc w:val="left"/>
      <w:pPr>
        <w:ind w:left="7744" w:hanging="250"/>
      </w:pPr>
      <w:rPr>
        <w:rFonts w:hint="default"/>
      </w:rPr>
    </w:lvl>
  </w:abstractNum>
  <w:abstractNum w:abstractNumId="1" w15:restartNumberingAfterBreak="0">
    <w:nsid w:val="525C49CE"/>
    <w:multiLevelType w:val="hybridMultilevel"/>
    <w:tmpl w:val="386E1D8E"/>
    <w:lvl w:ilvl="0" w:tplc="424233E0">
      <w:start w:val="2"/>
      <w:numFmt w:val="decimal"/>
      <w:lvlText w:val="(%1)"/>
      <w:lvlJc w:val="left"/>
      <w:pPr>
        <w:ind w:left="116" w:hanging="370"/>
        <w:jc w:val="left"/>
      </w:pPr>
      <w:rPr>
        <w:rFonts w:hint="default"/>
        <w:spacing w:val="-30"/>
        <w:w w:val="100"/>
      </w:rPr>
    </w:lvl>
    <w:lvl w:ilvl="1" w:tplc="66203860">
      <w:numFmt w:val="bullet"/>
      <w:lvlText w:val="•"/>
      <w:lvlJc w:val="left"/>
      <w:pPr>
        <w:ind w:left="1049" w:hanging="370"/>
      </w:pPr>
      <w:rPr>
        <w:rFonts w:hint="default"/>
      </w:rPr>
    </w:lvl>
    <w:lvl w:ilvl="2" w:tplc="3C96A76C">
      <w:numFmt w:val="bullet"/>
      <w:lvlText w:val="•"/>
      <w:lvlJc w:val="left"/>
      <w:pPr>
        <w:ind w:left="1978" w:hanging="370"/>
      </w:pPr>
      <w:rPr>
        <w:rFonts w:hint="default"/>
      </w:rPr>
    </w:lvl>
    <w:lvl w:ilvl="3" w:tplc="64160204">
      <w:numFmt w:val="bullet"/>
      <w:lvlText w:val="•"/>
      <w:lvlJc w:val="left"/>
      <w:pPr>
        <w:ind w:left="2907" w:hanging="370"/>
      </w:pPr>
      <w:rPr>
        <w:rFonts w:hint="default"/>
      </w:rPr>
    </w:lvl>
    <w:lvl w:ilvl="4" w:tplc="A2DEA14A">
      <w:numFmt w:val="bullet"/>
      <w:lvlText w:val="•"/>
      <w:lvlJc w:val="left"/>
      <w:pPr>
        <w:ind w:left="3836" w:hanging="370"/>
      </w:pPr>
      <w:rPr>
        <w:rFonts w:hint="default"/>
      </w:rPr>
    </w:lvl>
    <w:lvl w:ilvl="5" w:tplc="06AEC16C">
      <w:numFmt w:val="bullet"/>
      <w:lvlText w:val="•"/>
      <w:lvlJc w:val="left"/>
      <w:pPr>
        <w:ind w:left="4765" w:hanging="370"/>
      </w:pPr>
      <w:rPr>
        <w:rFonts w:hint="default"/>
      </w:rPr>
    </w:lvl>
    <w:lvl w:ilvl="6" w:tplc="F0A6C9F2">
      <w:numFmt w:val="bullet"/>
      <w:lvlText w:val="•"/>
      <w:lvlJc w:val="left"/>
      <w:pPr>
        <w:ind w:left="5694" w:hanging="370"/>
      </w:pPr>
      <w:rPr>
        <w:rFonts w:hint="default"/>
      </w:rPr>
    </w:lvl>
    <w:lvl w:ilvl="7" w:tplc="D36439E0">
      <w:numFmt w:val="bullet"/>
      <w:lvlText w:val="•"/>
      <w:lvlJc w:val="left"/>
      <w:pPr>
        <w:ind w:left="6623" w:hanging="370"/>
      </w:pPr>
      <w:rPr>
        <w:rFonts w:hint="default"/>
      </w:rPr>
    </w:lvl>
    <w:lvl w:ilvl="8" w:tplc="B1B2ACB0">
      <w:numFmt w:val="bullet"/>
      <w:lvlText w:val="•"/>
      <w:lvlJc w:val="left"/>
      <w:pPr>
        <w:ind w:left="7552" w:hanging="370"/>
      </w:pPr>
      <w:rPr>
        <w:rFonts w:hint="default"/>
      </w:rPr>
    </w:lvl>
  </w:abstractNum>
  <w:abstractNum w:abstractNumId="2" w15:restartNumberingAfterBreak="0">
    <w:nsid w:val="62482B03"/>
    <w:multiLevelType w:val="hybridMultilevel"/>
    <w:tmpl w:val="96E443A6"/>
    <w:lvl w:ilvl="0" w:tplc="998C2308">
      <w:start w:val="2"/>
      <w:numFmt w:val="decimal"/>
      <w:lvlText w:val="(%1)"/>
      <w:lvlJc w:val="left"/>
      <w:pPr>
        <w:ind w:left="116" w:hanging="322"/>
        <w:jc w:val="left"/>
      </w:pPr>
      <w:rPr>
        <w:rFonts w:hint="default"/>
        <w:spacing w:val="-2"/>
        <w:w w:val="99"/>
      </w:rPr>
    </w:lvl>
    <w:lvl w:ilvl="1" w:tplc="64B62938">
      <w:numFmt w:val="bullet"/>
      <w:lvlText w:val="•"/>
      <w:lvlJc w:val="left"/>
      <w:pPr>
        <w:ind w:left="1049" w:hanging="322"/>
      </w:pPr>
      <w:rPr>
        <w:rFonts w:hint="default"/>
      </w:rPr>
    </w:lvl>
    <w:lvl w:ilvl="2" w:tplc="8F648C42">
      <w:numFmt w:val="bullet"/>
      <w:lvlText w:val="•"/>
      <w:lvlJc w:val="left"/>
      <w:pPr>
        <w:ind w:left="1978" w:hanging="322"/>
      </w:pPr>
      <w:rPr>
        <w:rFonts w:hint="default"/>
      </w:rPr>
    </w:lvl>
    <w:lvl w:ilvl="3" w:tplc="5948B1C2">
      <w:numFmt w:val="bullet"/>
      <w:lvlText w:val="•"/>
      <w:lvlJc w:val="left"/>
      <w:pPr>
        <w:ind w:left="2907" w:hanging="322"/>
      </w:pPr>
      <w:rPr>
        <w:rFonts w:hint="default"/>
      </w:rPr>
    </w:lvl>
    <w:lvl w:ilvl="4" w:tplc="FCA28660">
      <w:numFmt w:val="bullet"/>
      <w:lvlText w:val="•"/>
      <w:lvlJc w:val="left"/>
      <w:pPr>
        <w:ind w:left="3836" w:hanging="322"/>
      </w:pPr>
      <w:rPr>
        <w:rFonts w:hint="default"/>
      </w:rPr>
    </w:lvl>
    <w:lvl w:ilvl="5" w:tplc="B53AEB96">
      <w:numFmt w:val="bullet"/>
      <w:lvlText w:val="•"/>
      <w:lvlJc w:val="left"/>
      <w:pPr>
        <w:ind w:left="4765" w:hanging="322"/>
      </w:pPr>
      <w:rPr>
        <w:rFonts w:hint="default"/>
      </w:rPr>
    </w:lvl>
    <w:lvl w:ilvl="6" w:tplc="9D8A5B04">
      <w:numFmt w:val="bullet"/>
      <w:lvlText w:val="•"/>
      <w:lvlJc w:val="left"/>
      <w:pPr>
        <w:ind w:left="5694" w:hanging="322"/>
      </w:pPr>
      <w:rPr>
        <w:rFonts w:hint="default"/>
      </w:rPr>
    </w:lvl>
    <w:lvl w:ilvl="7" w:tplc="411A022E">
      <w:numFmt w:val="bullet"/>
      <w:lvlText w:val="•"/>
      <w:lvlJc w:val="left"/>
      <w:pPr>
        <w:ind w:left="6623" w:hanging="322"/>
      </w:pPr>
      <w:rPr>
        <w:rFonts w:hint="default"/>
      </w:rPr>
    </w:lvl>
    <w:lvl w:ilvl="8" w:tplc="DE84E83A">
      <w:numFmt w:val="bullet"/>
      <w:lvlText w:val="•"/>
      <w:lvlJc w:val="left"/>
      <w:pPr>
        <w:ind w:left="7552" w:hanging="32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0A"/>
    <w:rsid w:val="00297C0A"/>
    <w:rsid w:val="00AD3A1C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8DA8"/>
  <w15:docId w15:val="{6D294FE8-0F3D-44FB-B68C-11CA5D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FD61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61D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D61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61D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D61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</dc:creator>
  <cp:lastModifiedBy>GÜNEŞ</cp:lastModifiedBy>
  <cp:revision>2</cp:revision>
  <cp:lastPrinted>2021-11-09T07:11:00Z</cp:lastPrinted>
  <dcterms:created xsi:type="dcterms:W3CDTF">2021-11-09T07:17:00Z</dcterms:created>
  <dcterms:modified xsi:type="dcterms:W3CDTF">2021-11-09T07:17:00Z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2021-11-09T00:00:00Z</vt:filetime>
  </property>
</Properties>
</file>