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98F356" w14:textId="77777777" w:rsidR="000A493B" w:rsidRDefault="000A493B" w:rsidP="00F84396">
      <w:pPr>
        <w:pStyle w:val="GvdeMetni"/>
        <w:spacing w:before="10"/>
        <w:ind w:left="0"/>
        <w:jc w:val="both"/>
        <w:rPr>
          <w:b/>
          <w:sz w:val="20"/>
        </w:rPr>
      </w:pPr>
    </w:p>
    <w:p w14:paraId="10BBDD6C" w14:textId="77777777" w:rsidR="000A493B" w:rsidRDefault="0005348D" w:rsidP="00F84396">
      <w:pPr>
        <w:ind w:left="1386" w:right="1386"/>
        <w:jc w:val="both"/>
        <w:rPr>
          <w:b/>
          <w:sz w:val="24"/>
        </w:rPr>
      </w:pPr>
      <w:r>
        <w:rPr>
          <w:b/>
          <w:sz w:val="24"/>
        </w:rPr>
        <w:t>BİRİNCİ BÖLÜM</w:t>
      </w:r>
    </w:p>
    <w:p w14:paraId="122A2E09" w14:textId="77777777" w:rsidR="000A493B" w:rsidRDefault="0005348D" w:rsidP="00F84396">
      <w:pPr>
        <w:ind w:left="1386" w:right="1386"/>
        <w:jc w:val="both"/>
        <w:rPr>
          <w:b/>
          <w:sz w:val="24"/>
        </w:rPr>
      </w:pPr>
      <w:r>
        <w:rPr>
          <w:b/>
          <w:sz w:val="24"/>
        </w:rPr>
        <w:t>Amaç, Kapsam, Dayanak ve Tanımlar</w:t>
      </w:r>
    </w:p>
    <w:p w14:paraId="7734D2C7" w14:textId="77777777" w:rsidR="000A493B" w:rsidRDefault="000A493B" w:rsidP="00F84396">
      <w:pPr>
        <w:pStyle w:val="GvdeMetni"/>
        <w:ind w:left="0"/>
        <w:jc w:val="both"/>
        <w:rPr>
          <w:b/>
          <w:sz w:val="26"/>
        </w:rPr>
      </w:pPr>
    </w:p>
    <w:p w14:paraId="40870F62" w14:textId="77777777" w:rsidR="000A493B" w:rsidRDefault="0005348D" w:rsidP="00F84396">
      <w:pPr>
        <w:spacing w:before="219" w:line="272" w:lineRule="exact"/>
        <w:ind w:left="116"/>
        <w:jc w:val="both"/>
        <w:rPr>
          <w:b/>
          <w:sz w:val="24"/>
        </w:rPr>
      </w:pPr>
      <w:r>
        <w:rPr>
          <w:b/>
          <w:sz w:val="24"/>
        </w:rPr>
        <w:t>Amaç</w:t>
      </w:r>
    </w:p>
    <w:p w14:paraId="1865FC71" w14:textId="77777777" w:rsidR="000A493B" w:rsidRDefault="0005348D" w:rsidP="00F84396">
      <w:pPr>
        <w:pStyle w:val="GvdeMetni"/>
        <w:ind w:right="199"/>
        <w:jc w:val="both"/>
      </w:pPr>
      <w:r>
        <w:rPr>
          <w:b/>
        </w:rPr>
        <w:t xml:space="preserve">MADDE 1- </w:t>
      </w:r>
      <w:r>
        <w:rPr>
          <w:color w:val="424242"/>
        </w:rPr>
        <w:t>Bu Yönergenin amacı, Üniversitede lisans ve lisansüstü düzeyde verilen derslere misafir öğrenci statüsünde katılmaya ilişkin uygulama esaslarını düzenlemektir.</w:t>
      </w:r>
    </w:p>
    <w:p w14:paraId="1B924CBA" w14:textId="77777777" w:rsidR="000A493B" w:rsidRDefault="000A493B" w:rsidP="00F84396">
      <w:pPr>
        <w:pStyle w:val="GvdeMetni"/>
        <w:spacing w:before="2"/>
        <w:ind w:left="0"/>
        <w:jc w:val="both"/>
      </w:pPr>
    </w:p>
    <w:p w14:paraId="56962E98" w14:textId="77777777" w:rsidR="000A493B" w:rsidRDefault="0005348D" w:rsidP="00F84396">
      <w:pPr>
        <w:pStyle w:val="Balk1"/>
        <w:spacing w:line="274" w:lineRule="exact"/>
        <w:jc w:val="both"/>
      </w:pPr>
      <w:r>
        <w:t>Kapsam</w:t>
      </w:r>
    </w:p>
    <w:p w14:paraId="5A8671CE" w14:textId="77777777" w:rsidR="000A493B" w:rsidRDefault="0005348D" w:rsidP="00F84396">
      <w:pPr>
        <w:pStyle w:val="GvdeMetni"/>
        <w:jc w:val="both"/>
      </w:pPr>
      <w:r>
        <w:rPr>
          <w:b/>
        </w:rPr>
        <w:t xml:space="preserve">MADDE 2- </w:t>
      </w:r>
      <w:r>
        <w:rPr>
          <w:color w:val="424242"/>
        </w:rPr>
        <w:t>Bu Yönerge misafir öğrenci statüsünde Üniversiteye başvuru, kabul ve kayıt süre</w:t>
      </w:r>
      <w:r>
        <w:rPr>
          <w:color w:val="424242"/>
        </w:rPr>
        <w:t>çlerine ilişkin hükümleri kapsar.</w:t>
      </w:r>
    </w:p>
    <w:p w14:paraId="72C8DDF3" w14:textId="77777777" w:rsidR="000A493B" w:rsidRDefault="000A493B" w:rsidP="00F84396">
      <w:pPr>
        <w:pStyle w:val="GvdeMetni"/>
        <w:spacing w:before="3"/>
        <w:ind w:left="0"/>
        <w:jc w:val="both"/>
      </w:pPr>
    </w:p>
    <w:p w14:paraId="1EF7A59F" w14:textId="77777777" w:rsidR="000A493B" w:rsidRDefault="0005348D" w:rsidP="00F84396">
      <w:pPr>
        <w:pStyle w:val="Balk1"/>
        <w:spacing w:line="274" w:lineRule="exact"/>
        <w:jc w:val="both"/>
      </w:pPr>
      <w:r>
        <w:t>Dayanak</w:t>
      </w:r>
    </w:p>
    <w:p w14:paraId="1D997F6F" w14:textId="77777777" w:rsidR="000A493B" w:rsidRDefault="0005348D" w:rsidP="00F84396">
      <w:pPr>
        <w:pStyle w:val="GvdeMetni"/>
        <w:ind w:right="306"/>
        <w:jc w:val="both"/>
      </w:pPr>
      <w:r>
        <w:rPr>
          <w:b/>
        </w:rPr>
        <w:t xml:space="preserve">MADDE 3- </w:t>
      </w:r>
      <w:r>
        <w:rPr>
          <w:color w:val="424242"/>
        </w:rPr>
        <w:t>Bu Yönerge Senato, ÜYK ve ilgili yönetim kurul kararları ile ilgili mevzuatlara dayanılarak hazırlanmıştır.</w:t>
      </w:r>
    </w:p>
    <w:p w14:paraId="24BA816B" w14:textId="77777777" w:rsidR="000A493B" w:rsidRDefault="000A493B" w:rsidP="00F84396">
      <w:pPr>
        <w:pStyle w:val="GvdeMetni"/>
        <w:spacing w:before="2"/>
        <w:ind w:left="0"/>
        <w:jc w:val="both"/>
      </w:pPr>
    </w:p>
    <w:p w14:paraId="2203B346" w14:textId="77777777" w:rsidR="000A493B" w:rsidRDefault="0005348D" w:rsidP="00F84396">
      <w:pPr>
        <w:pStyle w:val="Balk1"/>
        <w:spacing w:line="274" w:lineRule="exact"/>
        <w:jc w:val="both"/>
      </w:pPr>
      <w:r>
        <w:t>Tanımlar</w:t>
      </w:r>
    </w:p>
    <w:p w14:paraId="03015043" w14:textId="77777777" w:rsidR="000A493B" w:rsidRDefault="0005348D" w:rsidP="00F84396">
      <w:pPr>
        <w:spacing w:line="274" w:lineRule="exact"/>
        <w:ind w:left="116"/>
        <w:jc w:val="both"/>
        <w:rPr>
          <w:sz w:val="24"/>
        </w:rPr>
      </w:pPr>
      <w:r>
        <w:rPr>
          <w:b/>
          <w:sz w:val="24"/>
        </w:rPr>
        <w:t>MADDE 4</w:t>
      </w:r>
      <w:r>
        <w:rPr>
          <w:sz w:val="24"/>
        </w:rPr>
        <w:t xml:space="preserve">- </w:t>
      </w:r>
      <w:r>
        <w:rPr>
          <w:color w:val="424242"/>
          <w:sz w:val="24"/>
        </w:rPr>
        <w:t>Bu yönergede geçen;</w:t>
      </w:r>
    </w:p>
    <w:p w14:paraId="6470C6EC" w14:textId="77777777" w:rsidR="000A493B" w:rsidRDefault="0005348D" w:rsidP="00F84396">
      <w:pPr>
        <w:pStyle w:val="GvdeMetni"/>
        <w:jc w:val="both"/>
      </w:pPr>
      <w:r>
        <w:rPr>
          <w:b/>
        </w:rPr>
        <w:t xml:space="preserve">Misafir öğrenci: </w:t>
      </w:r>
      <w:r>
        <w:rPr>
          <w:color w:val="424242"/>
        </w:rPr>
        <w:t>Üniversitenin herhangi bir diploma progr</w:t>
      </w:r>
      <w:r>
        <w:rPr>
          <w:color w:val="424242"/>
        </w:rPr>
        <w:t>amına kayıtlı olmaksızın, belirli şartlarla ve sınırlı sürelerle Üniversitede dersleri almalarına izin verilen öğrencileri,</w:t>
      </w:r>
    </w:p>
    <w:p w14:paraId="558C287F" w14:textId="77777777" w:rsidR="000A493B" w:rsidRDefault="0005348D" w:rsidP="00F84396">
      <w:pPr>
        <w:pStyle w:val="GvdeMetni"/>
        <w:ind w:right="212"/>
        <w:jc w:val="both"/>
      </w:pPr>
      <w:r>
        <w:rPr>
          <w:b/>
        </w:rPr>
        <w:t>Özel Öğrenci</w:t>
      </w:r>
      <w:r>
        <w:t xml:space="preserve">: </w:t>
      </w:r>
      <w:r>
        <w:rPr>
          <w:color w:val="424242"/>
        </w:rPr>
        <w:t>Bir yükseköğretim kurumunda lisans, yüksek lisans ya da doktora programına kayıtlı olup, kayıtları kendi üniversitelerinde kalmak koşuluyla belirli şartlarla sınırlı sayıda ders almalarına izin verilen öğrencileri,</w:t>
      </w:r>
    </w:p>
    <w:p w14:paraId="7CFA7C08" w14:textId="77777777" w:rsidR="000A493B" w:rsidRDefault="0005348D" w:rsidP="00F84396">
      <w:pPr>
        <w:ind w:left="116"/>
        <w:jc w:val="both"/>
        <w:rPr>
          <w:sz w:val="24"/>
        </w:rPr>
      </w:pPr>
      <w:r>
        <w:rPr>
          <w:b/>
          <w:sz w:val="24"/>
        </w:rPr>
        <w:t xml:space="preserve">Üniversite: </w:t>
      </w:r>
      <w:r>
        <w:rPr>
          <w:color w:val="424242"/>
          <w:sz w:val="24"/>
        </w:rPr>
        <w:t>Tekirdağ Namık Kemal Üniversi</w:t>
      </w:r>
      <w:r>
        <w:rPr>
          <w:color w:val="424242"/>
          <w:sz w:val="24"/>
        </w:rPr>
        <w:t>tesini,</w:t>
      </w:r>
    </w:p>
    <w:p w14:paraId="30752E53" w14:textId="77777777" w:rsidR="000A493B" w:rsidRDefault="0005348D" w:rsidP="00F84396">
      <w:pPr>
        <w:pStyle w:val="GvdeMetni"/>
        <w:ind w:right="2992"/>
        <w:jc w:val="both"/>
      </w:pPr>
      <w:r>
        <w:rPr>
          <w:b/>
        </w:rPr>
        <w:t xml:space="preserve">Senato: </w:t>
      </w:r>
      <w:r>
        <w:rPr>
          <w:color w:val="424242"/>
        </w:rPr>
        <w:t xml:space="preserve">Tekirdağ Namık Kemal Üniversitesi Senatosu’nu, </w:t>
      </w:r>
      <w:r>
        <w:rPr>
          <w:b/>
        </w:rPr>
        <w:t xml:space="preserve">ÜYK: </w:t>
      </w:r>
      <w:r>
        <w:rPr>
          <w:color w:val="424242"/>
        </w:rPr>
        <w:t xml:space="preserve">Tekirdağ Namık Kemal Üniversitesi Yönetim Kurulu’nu, </w:t>
      </w:r>
      <w:r>
        <w:rPr>
          <w:b/>
        </w:rPr>
        <w:t xml:space="preserve">Rektör: </w:t>
      </w:r>
      <w:r>
        <w:rPr>
          <w:color w:val="424242"/>
        </w:rPr>
        <w:t>Tekirdağ Namık Kemal Üniversitesi Rektörü’nü,</w:t>
      </w:r>
    </w:p>
    <w:p w14:paraId="1A7F03E4" w14:textId="77777777" w:rsidR="000A493B" w:rsidRDefault="0005348D" w:rsidP="00F84396">
      <w:pPr>
        <w:spacing w:before="1"/>
        <w:ind w:left="116"/>
        <w:jc w:val="both"/>
        <w:rPr>
          <w:sz w:val="24"/>
        </w:rPr>
      </w:pPr>
      <w:r>
        <w:rPr>
          <w:b/>
          <w:color w:val="424242"/>
          <w:sz w:val="24"/>
        </w:rPr>
        <w:t xml:space="preserve">İlgili akademik birim: </w:t>
      </w:r>
      <w:r>
        <w:rPr>
          <w:color w:val="424242"/>
          <w:sz w:val="24"/>
        </w:rPr>
        <w:t>Fakülte/Yüksekokul/Enstitüleri,</w:t>
      </w:r>
    </w:p>
    <w:p w14:paraId="15C4FE39" w14:textId="2EB509D5" w:rsidR="000A493B" w:rsidRDefault="0005348D" w:rsidP="00F84396">
      <w:pPr>
        <w:spacing w:before="2"/>
        <w:ind w:left="116"/>
        <w:jc w:val="both"/>
        <w:rPr>
          <w:color w:val="424242"/>
          <w:sz w:val="24"/>
        </w:rPr>
      </w:pPr>
      <w:r>
        <w:rPr>
          <w:b/>
          <w:sz w:val="24"/>
        </w:rPr>
        <w:t xml:space="preserve">İlgili yönetim kurulu: </w:t>
      </w:r>
      <w:r>
        <w:rPr>
          <w:color w:val="424242"/>
          <w:sz w:val="24"/>
        </w:rPr>
        <w:t>Fak</w:t>
      </w:r>
      <w:r>
        <w:rPr>
          <w:color w:val="424242"/>
          <w:sz w:val="24"/>
        </w:rPr>
        <w:t>ülte/Yüksekokul/Enstitü Yönetim Kurullarını, ifade eder.</w:t>
      </w:r>
    </w:p>
    <w:p w14:paraId="7246FF6D" w14:textId="77777777" w:rsidR="00F84396" w:rsidRDefault="00F84396" w:rsidP="00F84396">
      <w:pPr>
        <w:spacing w:before="2"/>
        <w:ind w:left="116"/>
        <w:jc w:val="both"/>
        <w:rPr>
          <w:sz w:val="24"/>
        </w:rPr>
      </w:pPr>
    </w:p>
    <w:p w14:paraId="4159939E" w14:textId="77777777" w:rsidR="000A493B" w:rsidRDefault="0005348D" w:rsidP="00F84396">
      <w:pPr>
        <w:pStyle w:val="Balk1"/>
        <w:spacing w:before="5"/>
        <w:ind w:left="1386" w:right="1386"/>
        <w:jc w:val="both"/>
      </w:pPr>
      <w:r>
        <w:t>İKİNCİ BÖLÜM</w:t>
      </w:r>
    </w:p>
    <w:p w14:paraId="2480F61B" w14:textId="77777777" w:rsidR="000A493B" w:rsidRDefault="0005348D" w:rsidP="00F84396">
      <w:pPr>
        <w:ind w:left="1386" w:right="1386"/>
        <w:jc w:val="both"/>
        <w:rPr>
          <w:b/>
          <w:sz w:val="24"/>
        </w:rPr>
      </w:pPr>
      <w:r>
        <w:rPr>
          <w:b/>
          <w:sz w:val="24"/>
        </w:rPr>
        <w:t>Başvuru, Kabul ve Kayıt</w:t>
      </w:r>
    </w:p>
    <w:p w14:paraId="026E3E42" w14:textId="77777777" w:rsidR="000A493B" w:rsidRDefault="0005348D" w:rsidP="00F84396">
      <w:pPr>
        <w:spacing w:line="274" w:lineRule="exact"/>
        <w:ind w:left="116"/>
        <w:jc w:val="both"/>
        <w:rPr>
          <w:b/>
          <w:sz w:val="24"/>
        </w:rPr>
      </w:pPr>
      <w:r>
        <w:rPr>
          <w:b/>
          <w:sz w:val="24"/>
        </w:rPr>
        <w:t>Başvuru</w:t>
      </w:r>
    </w:p>
    <w:p w14:paraId="5A571249" w14:textId="77777777" w:rsidR="000A493B" w:rsidRDefault="0005348D" w:rsidP="00F84396">
      <w:pPr>
        <w:pStyle w:val="GvdeMetni"/>
        <w:jc w:val="both"/>
      </w:pPr>
      <w:r>
        <w:rPr>
          <w:b/>
        </w:rPr>
        <w:t xml:space="preserve">MADDE 5- (1) </w:t>
      </w:r>
      <w:r>
        <w:rPr>
          <w:color w:val="424242"/>
        </w:rPr>
        <w:t>Misafir öğrenci başvuruları akademik takvimde ilan edilen süreler içinde Üniversitenin ilgili akademik birimlere yapılır.</w:t>
      </w:r>
    </w:p>
    <w:p w14:paraId="59657015" w14:textId="77777777" w:rsidR="000A493B" w:rsidRDefault="0005348D" w:rsidP="00F84396">
      <w:pPr>
        <w:pStyle w:val="ListeParagraf"/>
        <w:numPr>
          <w:ilvl w:val="0"/>
          <w:numId w:val="3"/>
        </w:numPr>
        <w:tabs>
          <w:tab w:val="left" w:pos="458"/>
        </w:tabs>
        <w:ind w:right="731" w:firstLine="0"/>
        <w:jc w:val="both"/>
        <w:rPr>
          <w:sz w:val="24"/>
        </w:rPr>
      </w:pPr>
      <w:r>
        <w:rPr>
          <w:color w:val="424242"/>
          <w:sz w:val="24"/>
        </w:rPr>
        <w:t xml:space="preserve">Başvuru koşulları, </w:t>
      </w:r>
      <w:r>
        <w:rPr>
          <w:color w:val="424242"/>
          <w:sz w:val="24"/>
        </w:rPr>
        <w:t>başvuru için gerekli belgeler ve kayıt işlemlerine ilişkin bilgiler Üniversitenin internet sitesinde ilan</w:t>
      </w:r>
      <w:r>
        <w:rPr>
          <w:color w:val="424242"/>
          <w:spacing w:val="-1"/>
          <w:sz w:val="24"/>
        </w:rPr>
        <w:t xml:space="preserve"> </w:t>
      </w:r>
      <w:r>
        <w:rPr>
          <w:color w:val="424242"/>
          <w:sz w:val="24"/>
        </w:rPr>
        <w:t>edilir.</w:t>
      </w:r>
    </w:p>
    <w:p w14:paraId="2389C640" w14:textId="77777777" w:rsidR="000A493B" w:rsidRDefault="0005348D" w:rsidP="00F84396">
      <w:pPr>
        <w:pStyle w:val="ListeParagraf"/>
        <w:numPr>
          <w:ilvl w:val="0"/>
          <w:numId w:val="3"/>
        </w:numPr>
        <w:tabs>
          <w:tab w:val="left" w:pos="455"/>
        </w:tabs>
        <w:ind w:left="454" w:hanging="339"/>
        <w:jc w:val="both"/>
        <w:rPr>
          <w:sz w:val="24"/>
        </w:rPr>
      </w:pPr>
      <w:r>
        <w:rPr>
          <w:color w:val="424242"/>
          <w:sz w:val="24"/>
        </w:rPr>
        <w:t>Misafir öğrenci statüsünde başvuracak</w:t>
      </w:r>
      <w:r>
        <w:rPr>
          <w:color w:val="424242"/>
          <w:spacing w:val="-14"/>
          <w:sz w:val="24"/>
        </w:rPr>
        <w:t xml:space="preserve"> </w:t>
      </w:r>
      <w:r>
        <w:rPr>
          <w:color w:val="424242"/>
          <w:sz w:val="24"/>
        </w:rPr>
        <w:t>adayın;</w:t>
      </w:r>
    </w:p>
    <w:p w14:paraId="778738F3" w14:textId="77777777" w:rsidR="000A493B" w:rsidRDefault="0005348D" w:rsidP="00F84396">
      <w:pPr>
        <w:pStyle w:val="ListeParagraf"/>
        <w:numPr>
          <w:ilvl w:val="1"/>
          <w:numId w:val="3"/>
        </w:numPr>
        <w:tabs>
          <w:tab w:val="left" w:pos="1197"/>
        </w:tabs>
        <w:ind w:right="1139"/>
        <w:jc w:val="both"/>
        <w:rPr>
          <w:sz w:val="24"/>
        </w:rPr>
      </w:pPr>
      <w:r>
        <w:rPr>
          <w:sz w:val="24"/>
        </w:rPr>
        <w:t xml:space="preserve">Lisans düzeyindeki bir programın derslerine katılması için daha önce bir yükseköğretim kurumuna </w:t>
      </w:r>
      <w:r>
        <w:rPr>
          <w:sz w:val="24"/>
        </w:rPr>
        <w:t>kabul edilmiş</w:t>
      </w:r>
      <w:r>
        <w:rPr>
          <w:spacing w:val="-2"/>
          <w:sz w:val="24"/>
        </w:rPr>
        <w:t xml:space="preserve"> </w:t>
      </w:r>
      <w:r>
        <w:rPr>
          <w:sz w:val="24"/>
        </w:rPr>
        <w:t>olması,</w:t>
      </w:r>
    </w:p>
    <w:p w14:paraId="19A0A8DB" w14:textId="77777777" w:rsidR="000A493B" w:rsidRDefault="0005348D" w:rsidP="00F84396">
      <w:pPr>
        <w:pStyle w:val="ListeParagraf"/>
        <w:numPr>
          <w:ilvl w:val="1"/>
          <w:numId w:val="3"/>
        </w:numPr>
        <w:tabs>
          <w:tab w:val="left" w:pos="1197"/>
        </w:tabs>
        <w:ind w:right="143"/>
        <w:jc w:val="both"/>
        <w:rPr>
          <w:sz w:val="24"/>
        </w:rPr>
      </w:pPr>
      <w:r>
        <w:rPr>
          <w:sz w:val="24"/>
        </w:rPr>
        <w:t>Yüksek lisans düzeyindeki bir programın derslerine katılması için daha önce bir lisans derecesine sahip</w:t>
      </w:r>
      <w:r>
        <w:rPr>
          <w:spacing w:val="-1"/>
          <w:sz w:val="24"/>
        </w:rPr>
        <w:t xml:space="preserve"> </w:t>
      </w:r>
      <w:r>
        <w:rPr>
          <w:sz w:val="24"/>
        </w:rPr>
        <w:t>olması,</w:t>
      </w:r>
    </w:p>
    <w:p w14:paraId="437AA6A9" w14:textId="77777777" w:rsidR="000A493B" w:rsidRDefault="0005348D" w:rsidP="00F84396">
      <w:pPr>
        <w:pStyle w:val="ListeParagraf"/>
        <w:numPr>
          <w:ilvl w:val="1"/>
          <w:numId w:val="3"/>
        </w:numPr>
        <w:tabs>
          <w:tab w:val="left" w:pos="1197"/>
        </w:tabs>
        <w:ind w:right="138"/>
        <w:jc w:val="both"/>
        <w:rPr>
          <w:color w:val="424242"/>
          <w:sz w:val="24"/>
        </w:rPr>
      </w:pPr>
      <w:r>
        <w:rPr>
          <w:sz w:val="24"/>
        </w:rPr>
        <w:t>Doktora</w:t>
      </w:r>
      <w:r>
        <w:rPr>
          <w:spacing w:val="-20"/>
          <w:sz w:val="24"/>
        </w:rPr>
        <w:t xml:space="preserve"> </w:t>
      </w:r>
      <w:r>
        <w:rPr>
          <w:sz w:val="24"/>
        </w:rPr>
        <w:t>düzeyindeki</w:t>
      </w:r>
      <w:r>
        <w:rPr>
          <w:spacing w:val="-16"/>
          <w:sz w:val="24"/>
        </w:rPr>
        <w:t xml:space="preserve"> </w:t>
      </w:r>
      <w:r>
        <w:rPr>
          <w:sz w:val="24"/>
        </w:rPr>
        <w:t>bir</w:t>
      </w:r>
      <w:r>
        <w:rPr>
          <w:spacing w:val="-15"/>
          <w:sz w:val="24"/>
        </w:rPr>
        <w:t xml:space="preserve"> </w:t>
      </w:r>
      <w:r>
        <w:rPr>
          <w:sz w:val="24"/>
        </w:rPr>
        <w:t>programın</w:t>
      </w:r>
      <w:r>
        <w:rPr>
          <w:spacing w:val="-17"/>
          <w:sz w:val="24"/>
        </w:rPr>
        <w:t xml:space="preserve"> </w:t>
      </w:r>
      <w:r>
        <w:rPr>
          <w:sz w:val="24"/>
        </w:rPr>
        <w:t>derslerine</w:t>
      </w:r>
      <w:r>
        <w:rPr>
          <w:spacing w:val="-17"/>
          <w:sz w:val="24"/>
        </w:rPr>
        <w:t xml:space="preserve"> </w:t>
      </w:r>
      <w:r>
        <w:rPr>
          <w:sz w:val="24"/>
        </w:rPr>
        <w:t>katılması</w:t>
      </w:r>
      <w:r>
        <w:rPr>
          <w:spacing w:val="-13"/>
          <w:sz w:val="24"/>
        </w:rPr>
        <w:t xml:space="preserve"> </w:t>
      </w:r>
      <w:r>
        <w:rPr>
          <w:sz w:val="24"/>
        </w:rPr>
        <w:t>için</w:t>
      </w:r>
      <w:r>
        <w:rPr>
          <w:spacing w:val="-17"/>
          <w:sz w:val="24"/>
        </w:rPr>
        <w:t xml:space="preserve"> </w:t>
      </w:r>
      <w:r>
        <w:rPr>
          <w:sz w:val="24"/>
        </w:rPr>
        <w:t>daha</w:t>
      </w:r>
      <w:r>
        <w:rPr>
          <w:spacing w:val="-20"/>
          <w:sz w:val="24"/>
        </w:rPr>
        <w:t xml:space="preserve"> </w:t>
      </w:r>
      <w:r>
        <w:rPr>
          <w:sz w:val="24"/>
        </w:rPr>
        <w:t>önce</w:t>
      </w:r>
      <w:r>
        <w:rPr>
          <w:spacing w:val="-17"/>
          <w:sz w:val="24"/>
        </w:rPr>
        <w:t xml:space="preserve"> </w:t>
      </w:r>
      <w:r>
        <w:rPr>
          <w:sz w:val="24"/>
        </w:rPr>
        <w:t>bir</w:t>
      </w:r>
      <w:r>
        <w:rPr>
          <w:spacing w:val="-17"/>
          <w:sz w:val="24"/>
        </w:rPr>
        <w:t xml:space="preserve"> </w:t>
      </w:r>
      <w:r>
        <w:rPr>
          <w:sz w:val="24"/>
        </w:rPr>
        <w:t>lisansüstü dereceye sahip olması</w:t>
      </w:r>
      <w:r>
        <w:rPr>
          <w:spacing w:val="-1"/>
          <w:sz w:val="24"/>
        </w:rPr>
        <w:t xml:space="preserve"> </w:t>
      </w:r>
      <w:r>
        <w:rPr>
          <w:color w:val="424242"/>
          <w:sz w:val="24"/>
        </w:rPr>
        <w:t>gerekir.</w:t>
      </w:r>
    </w:p>
    <w:p w14:paraId="535877B6" w14:textId="77777777" w:rsidR="000A493B" w:rsidRDefault="0005348D" w:rsidP="00F84396">
      <w:pPr>
        <w:pStyle w:val="ListeParagraf"/>
        <w:numPr>
          <w:ilvl w:val="0"/>
          <w:numId w:val="3"/>
        </w:numPr>
        <w:tabs>
          <w:tab w:val="left" w:pos="458"/>
        </w:tabs>
        <w:ind w:right="116" w:firstLine="0"/>
        <w:jc w:val="both"/>
        <w:rPr>
          <w:sz w:val="24"/>
        </w:rPr>
      </w:pPr>
      <w:r>
        <w:rPr>
          <w:color w:val="424242"/>
          <w:sz w:val="24"/>
        </w:rPr>
        <w:t>Yurtiçi bir yükseköğretim kurumunda halen bir programda kayıtlı olup Üniversitede Güz ve Bahar yarıyıllarında ders almak isteyen öğrenciler, özel öğrenci statüsünde başvuru yapabilirler. Özel öğrenciler Tekirdağ Na</w:t>
      </w:r>
      <w:r>
        <w:rPr>
          <w:color w:val="424242"/>
          <w:sz w:val="24"/>
        </w:rPr>
        <w:t xml:space="preserve">mık Kemal Üniversitesi </w:t>
      </w:r>
      <w:proofErr w:type="spellStart"/>
      <w:r>
        <w:rPr>
          <w:color w:val="424242"/>
          <w:sz w:val="24"/>
        </w:rPr>
        <w:t>Önlisans</w:t>
      </w:r>
      <w:proofErr w:type="spellEnd"/>
      <w:r>
        <w:rPr>
          <w:color w:val="424242"/>
          <w:sz w:val="24"/>
        </w:rPr>
        <w:t>-Lisans Özel Öğrenci Yönergesine</w:t>
      </w:r>
      <w:r>
        <w:rPr>
          <w:color w:val="424242"/>
          <w:spacing w:val="-1"/>
          <w:sz w:val="24"/>
        </w:rPr>
        <w:t xml:space="preserve"> </w:t>
      </w:r>
      <w:r>
        <w:rPr>
          <w:color w:val="424242"/>
          <w:sz w:val="24"/>
        </w:rPr>
        <w:t>tabidir.</w:t>
      </w:r>
    </w:p>
    <w:p w14:paraId="03F5648D" w14:textId="77777777" w:rsidR="000A493B" w:rsidRDefault="000A493B" w:rsidP="00F84396">
      <w:pPr>
        <w:jc w:val="both"/>
        <w:rPr>
          <w:sz w:val="24"/>
        </w:rPr>
        <w:sectPr w:rsidR="000A493B" w:rsidSect="00F84396">
          <w:headerReference w:type="default" r:id="rId7"/>
          <w:headerReference w:type="first" r:id="rId8"/>
          <w:type w:val="continuous"/>
          <w:pgSz w:w="11920" w:h="16850"/>
          <w:pgMar w:top="1300" w:right="1300" w:bottom="280" w:left="1300" w:header="710" w:footer="708" w:gutter="0"/>
          <w:cols w:space="708"/>
          <w:titlePg/>
          <w:docGrid w:linePitch="299"/>
        </w:sectPr>
      </w:pPr>
    </w:p>
    <w:p w14:paraId="781F2A1E" w14:textId="77777777" w:rsidR="000A493B" w:rsidRDefault="0005348D" w:rsidP="00F84396">
      <w:pPr>
        <w:pStyle w:val="Balk1"/>
        <w:spacing w:before="80" w:line="275" w:lineRule="exact"/>
        <w:jc w:val="both"/>
      </w:pPr>
      <w:r>
        <w:lastRenderedPageBreak/>
        <w:t>Kabul</w:t>
      </w:r>
    </w:p>
    <w:p w14:paraId="5E9FCA3E" w14:textId="77777777" w:rsidR="000A493B" w:rsidRDefault="0005348D" w:rsidP="00F84396">
      <w:pPr>
        <w:pStyle w:val="GvdeMetni"/>
        <w:ind w:right="112"/>
        <w:jc w:val="both"/>
      </w:pPr>
      <w:r>
        <w:rPr>
          <w:b/>
        </w:rPr>
        <w:t>MADDE</w:t>
      </w:r>
      <w:r>
        <w:rPr>
          <w:b/>
          <w:spacing w:val="-8"/>
        </w:rPr>
        <w:t xml:space="preserve"> </w:t>
      </w:r>
      <w:r>
        <w:rPr>
          <w:b/>
        </w:rPr>
        <w:t>6-</w:t>
      </w:r>
      <w:r>
        <w:rPr>
          <w:b/>
          <w:spacing w:val="-3"/>
        </w:rPr>
        <w:t xml:space="preserve"> </w:t>
      </w:r>
      <w:r>
        <w:rPr>
          <w:b/>
        </w:rPr>
        <w:t>(1)</w:t>
      </w:r>
      <w:r>
        <w:rPr>
          <w:b/>
          <w:spacing w:val="-4"/>
        </w:rPr>
        <w:t xml:space="preserve"> </w:t>
      </w:r>
      <w:r>
        <w:rPr>
          <w:color w:val="424242"/>
        </w:rPr>
        <w:t>Misafir</w:t>
      </w:r>
      <w:r>
        <w:rPr>
          <w:color w:val="424242"/>
          <w:spacing w:val="-9"/>
        </w:rPr>
        <w:t xml:space="preserve"> </w:t>
      </w:r>
      <w:r>
        <w:rPr>
          <w:color w:val="424242"/>
        </w:rPr>
        <w:t>öğrenci</w:t>
      </w:r>
      <w:r>
        <w:rPr>
          <w:color w:val="424242"/>
          <w:spacing w:val="-6"/>
        </w:rPr>
        <w:t xml:space="preserve"> </w:t>
      </w:r>
      <w:r>
        <w:rPr>
          <w:color w:val="424242"/>
        </w:rPr>
        <w:t>statüsünde</w:t>
      </w:r>
      <w:r>
        <w:rPr>
          <w:color w:val="424242"/>
          <w:spacing w:val="-7"/>
        </w:rPr>
        <w:t xml:space="preserve"> </w:t>
      </w:r>
      <w:r>
        <w:rPr>
          <w:color w:val="424242"/>
        </w:rPr>
        <w:t>başvuran</w:t>
      </w:r>
      <w:r>
        <w:rPr>
          <w:color w:val="424242"/>
          <w:spacing w:val="-7"/>
        </w:rPr>
        <w:t xml:space="preserve"> </w:t>
      </w:r>
      <w:r>
        <w:rPr>
          <w:color w:val="424242"/>
        </w:rPr>
        <w:t>adayların</w:t>
      </w:r>
      <w:r>
        <w:rPr>
          <w:color w:val="424242"/>
          <w:spacing w:val="-7"/>
        </w:rPr>
        <w:t xml:space="preserve"> </w:t>
      </w:r>
      <w:r>
        <w:rPr>
          <w:color w:val="424242"/>
        </w:rPr>
        <w:t>başvurusu</w:t>
      </w:r>
      <w:r>
        <w:rPr>
          <w:color w:val="424242"/>
          <w:spacing w:val="-7"/>
        </w:rPr>
        <w:t xml:space="preserve"> </w:t>
      </w:r>
      <w:r>
        <w:rPr>
          <w:color w:val="424242"/>
        </w:rPr>
        <w:t>ilgili</w:t>
      </w:r>
      <w:r>
        <w:rPr>
          <w:color w:val="424242"/>
          <w:spacing w:val="-6"/>
        </w:rPr>
        <w:t xml:space="preserve"> </w:t>
      </w:r>
      <w:r>
        <w:rPr>
          <w:color w:val="424242"/>
        </w:rPr>
        <w:t>akademik</w:t>
      </w:r>
      <w:r>
        <w:rPr>
          <w:color w:val="424242"/>
          <w:spacing w:val="-6"/>
        </w:rPr>
        <w:t xml:space="preserve"> </w:t>
      </w:r>
      <w:r>
        <w:rPr>
          <w:color w:val="424242"/>
        </w:rPr>
        <w:t>birim tarafından değerlendirilir. Dersleri almalarına ilişkin kabul kararı ilgili akademik birimin önerisi ve ilgili yönetim kurulu kararıyla</w:t>
      </w:r>
      <w:r>
        <w:rPr>
          <w:color w:val="424242"/>
          <w:spacing w:val="-3"/>
        </w:rPr>
        <w:t xml:space="preserve"> </w:t>
      </w:r>
      <w:r>
        <w:rPr>
          <w:color w:val="424242"/>
        </w:rPr>
        <w:t>kesinleşir.</w:t>
      </w:r>
    </w:p>
    <w:p w14:paraId="331E846A" w14:textId="77777777" w:rsidR="000A493B" w:rsidRDefault="0005348D" w:rsidP="00F84396">
      <w:pPr>
        <w:pStyle w:val="GvdeMetni"/>
        <w:ind w:right="121"/>
        <w:jc w:val="both"/>
      </w:pPr>
      <w:r>
        <w:rPr>
          <w:b/>
        </w:rPr>
        <w:t xml:space="preserve">(2) </w:t>
      </w:r>
      <w:r>
        <w:rPr>
          <w:color w:val="424242"/>
        </w:rPr>
        <w:t>Misafir öğrencilerin ders almalarına ilişkin kabul kararı en fazla iki y</w:t>
      </w:r>
      <w:r>
        <w:rPr>
          <w:color w:val="424242"/>
        </w:rPr>
        <w:t>arıyıl içindir. Bir yarıyıl için kabul edilen adayların ikinci yarıyılda da ders almaları için ilgili birimin onayı ve ilgili yönetim kurulu kararı gereklidir. Aralıklı veya aralıksız olarak birden fazla kez yapılan başvurular da bu kapsamda değerlendirili</w:t>
      </w:r>
      <w:r>
        <w:rPr>
          <w:color w:val="424242"/>
        </w:rPr>
        <w:t>r.</w:t>
      </w:r>
    </w:p>
    <w:p w14:paraId="34CAB2D2" w14:textId="77777777" w:rsidR="000A493B" w:rsidRDefault="000A493B" w:rsidP="00F84396">
      <w:pPr>
        <w:pStyle w:val="GvdeMetni"/>
        <w:spacing w:before="1"/>
        <w:ind w:left="0"/>
        <w:jc w:val="both"/>
      </w:pPr>
    </w:p>
    <w:p w14:paraId="5F3AF3BC" w14:textId="77777777" w:rsidR="000A493B" w:rsidRDefault="0005348D" w:rsidP="00F84396">
      <w:pPr>
        <w:pStyle w:val="Balk1"/>
        <w:spacing w:line="274" w:lineRule="exact"/>
        <w:jc w:val="both"/>
      </w:pPr>
      <w:r>
        <w:t>Kayıt</w:t>
      </w:r>
    </w:p>
    <w:p w14:paraId="73A55E24" w14:textId="77777777" w:rsidR="000A493B" w:rsidRDefault="0005348D" w:rsidP="00F84396">
      <w:pPr>
        <w:pStyle w:val="GvdeMetni"/>
        <w:jc w:val="both"/>
      </w:pPr>
      <w:r>
        <w:rPr>
          <w:b/>
        </w:rPr>
        <w:t xml:space="preserve">MADDE 7- (1) </w:t>
      </w:r>
      <w:r>
        <w:rPr>
          <w:color w:val="424242"/>
        </w:rPr>
        <w:t>Misafir öğrencilerin kabul aldıkları programda alacakları derslerin kayıtları akademik takvimde belirtilen süreler içinde yapılır.</w:t>
      </w:r>
    </w:p>
    <w:p w14:paraId="2A198C08" w14:textId="77777777" w:rsidR="000A493B" w:rsidRDefault="0005348D" w:rsidP="00F84396">
      <w:pPr>
        <w:pStyle w:val="ListeParagraf"/>
        <w:numPr>
          <w:ilvl w:val="0"/>
          <w:numId w:val="2"/>
        </w:numPr>
        <w:tabs>
          <w:tab w:val="left" w:pos="458"/>
        </w:tabs>
        <w:ind w:right="116" w:firstLine="0"/>
        <w:jc w:val="both"/>
        <w:rPr>
          <w:sz w:val="24"/>
        </w:rPr>
      </w:pPr>
      <w:r>
        <w:rPr>
          <w:color w:val="424242"/>
          <w:sz w:val="24"/>
        </w:rPr>
        <w:t xml:space="preserve">Misafir öğrencilere, kabul aldıkları akademik birim tarafından bir akademik danışman atanır. Danışman </w:t>
      </w:r>
      <w:r>
        <w:rPr>
          <w:color w:val="424242"/>
          <w:sz w:val="24"/>
        </w:rPr>
        <w:t>misafir öğrenciye alacağı derslerin seçiminde rehberlik eder ve öğrencinin derslerini</w:t>
      </w:r>
      <w:r>
        <w:rPr>
          <w:color w:val="424242"/>
          <w:spacing w:val="-1"/>
          <w:sz w:val="24"/>
        </w:rPr>
        <w:t xml:space="preserve"> </w:t>
      </w:r>
      <w:r>
        <w:rPr>
          <w:color w:val="424242"/>
          <w:sz w:val="24"/>
        </w:rPr>
        <w:t>onaylar.</w:t>
      </w:r>
    </w:p>
    <w:p w14:paraId="311DD99C" w14:textId="77777777" w:rsidR="000A493B" w:rsidRDefault="0005348D" w:rsidP="00F84396">
      <w:pPr>
        <w:pStyle w:val="ListeParagraf"/>
        <w:numPr>
          <w:ilvl w:val="0"/>
          <w:numId w:val="2"/>
        </w:numPr>
        <w:tabs>
          <w:tab w:val="left" w:pos="458"/>
        </w:tabs>
        <w:spacing w:before="1"/>
        <w:ind w:right="106" w:firstLine="0"/>
        <w:jc w:val="both"/>
        <w:rPr>
          <w:sz w:val="24"/>
        </w:rPr>
      </w:pPr>
      <w:r>
        <w:rPr>
          <w:color w:val="424242"/>
          <w:sz w:val="24"/>
        </w:rPr>
        <w:t>Misafir öğrenciler, yarıyıl başına en az bir dersi, kabul edildikleri programın açtığı derslerden seçmek zorundadırlar. Bu öğrencilere Üniversitenin Lisans ve Li</w:t>
      </w:r>
      <w:r>
        <w:rPr>
          <w:color w:val="424242"/>
          <w:sz w:val="24"/>
        </w:rPr>
        <w:t>sansüstü Eğitim- Öğretim Yönetmeliklerinin az ders yükü hükümleri uygulanmaz. Misafir öğrenciler kabul edildikleri programın fazla ders yükü uygulamasına</w:t>
      </w:r>
      <w:r>
        <w:rPr>
          <w:color w:val="424242"/>
          <w:spacing w:val="3"/>
          <w:sz w:val="24"/>
        </w:rPr>
        <w:t xml:space="preserve"> </w:t>
      </w:r>
      <w:r>
        <w:rPr>
          <w:color w:val="424242"/>
          <w:sz w:val="24"/>
        </w:rPr>
        <w:t>tabidir.</w:t>
      </w:r>
    </w:p>
    <w:p w14:paraId="6132132E" w14:textId="77777777" w:rsidR="000A493B" w:rsidRDefault="0005348D" w:rsidP="00F84396">
      <w:pPr>
        <w:pStyle w:val="ListeParagraf"/>
        <w:numPr>
          <w:ilvl w:val="0"/>
          <w:numId w:val="2"/>
        </w:numPr>
        <w:tabs>
          <w:tab w:val="left" w:pos="561"/>
        </w:tabs>
        <w:ind w:right="111" w:firstLine="0"/>
        <w:jc w:val="both"/>
        <w:rPr>
          <w:sz w:val="24"/>
        </w:rPr>
      </w:pPr>
      <w:r>
        <w:rPr>
          <w:color w:val="424242"/>
          <w:sz w:val="24"/>
        </w:rPr>
        <w:t>Misafir öğrencilerin derslere kayıt olabilmeleri için mali yükümlülüklerini yerine getirmeler</w:t>
      </w:r>
      <w:r>
        <w:rPr>
          <w:color w:val="424242"/>
          <w:sz w:val="24"/>
        </w:rPr>
        <w:t>i</w:t>
      </w:r>
      <w:r>
        <w:rPr>
          <w:color w:val="424242"/>
          <w:spacing w:val="-1"/>
          <w:sz w:val="24"/>
        </w:rPr>
        <w:t xml:space="preserve"> </w:t>
      </w:r>
      <w:r>
        <w:rPr>
          <w:color w:val="424242"/>
          <w:sz w:val="24"/>
        </w:rPr>
        <w:t>gerekir.</w:t>
      </w:r>
    </w:p>
    <w:p w14:paraId="5916BFEC" w14:textId="77777777" w:rsidR="000A493B" w:rsidRDefault="0005348D" w:rsidP="00F84396">
      <w:pPr>
        <w:pStyle w:val="ListeParagraf"/>
        <w:numPr>
          <w:ilvl w:val="0"/>
          <w:numId w:val="2"/>
        </w:numPr>
        <w:tabs>
          <w:tab w:val="left" w:pos="458"/>
        </w:tabs>
        <w:ind w:right="113" w:firstLine="0"/>
        <w:jc w:val="both"/>
        <w:rPr>
          <w:sz w:val="24"/>
        </w:rPr>
      </w:pPr>
      <w:r>
        <w:rPr>
          <w:color w:val="424242"/>
          <w:sz w:val="24"/>
        </w:rPr>
        <w:t>Misafir öğrencilerin ders kayıtları, mali yükümlülüklerin yerine getirilmesinden ve danışman onayından sonra</w:t>
      </w:r>
      <w:r>
        <w:rPr>
          <w:color w:val="424242"/>
          <w:spacing w:val="-1"/>
          <w:sz w:val="24"/>
        </w:rPr>
        <w:t xml:space="preserve"> </w:t>
      </w:r>
      <w:r>
        <w:rPr>
          <w:color w:val="424242"/>
          <w:sz w:val="24"/>
        </w:rPr>
        <w:t>kesinleşir.</w:t>
      </w:r>
    </w:p>
    <w:p w14:paraId="58CDB65F" w14:textId="77777777" w:rsidR="000A493B" w:rsidRDefault="0005348D" w:rsidP="00F84396">
      <w:pPr>
        <w:pStyle w:val="ListeParagraf"/>
        <w:numPr>
          <w:ilvl w:val="0"/>
          <w:numId w:val="2"/>
        </w:numPr>
        <w:tabs>
          <w:tab w:val="left" w:pos="455"/>
        </w:tabs>
        <w:ind w:left="454" w:hanging="339"/>
        <w:jc w:val="both"/>
        <w:rPr>
          <w:sz w:val="24"/>
        </w:rPr>
      </w:pPr>
      <w:r>
        <w:rPr>
          <w:color w:val="424242"/>
          <w:sz w:val="24"/>
        </w:rPr>
        <w:t>Misafir öğrencilerin mali yükümlülükleri ÜYK tarafından belirlenir ve ilan</w:t>
      </w:r>
      <w:r>
        <w:rPr>
          <w:color w:val="424242"/>
          <w:spacing w:val="-15"/>
          <w:sz w:val="24"/>
        </w:rPr>
        <w:t xml:space="preserve"> </w:t>
      </w:r>
      <w:r>
        <w:rPr>
          <w:color w:val="424242"/>
          <w:sz w:val="24"/>
        </w:rPr>
        <w:t>edilir.</w:t>
      </w:r>
    </w:p>
    <w:p w14:paraId="66DA3B18" w14:textId="77777777" w:rsidR="000A493B" w:rsidRDefault="000A493B" w:rsidP="00F84396">
      <w:pPr>
        <w:pStyle w:val="GvdeMetni"/>
        <w:spacing w:before="2"/>
        <w:ind w:left="0"/>
        <w:jc w:val="both"/>
      </w:pPr>
    </w:p>
    <w:p w14:paraId="5D19E6BA" w14:textId="77777777" w:rsidR="000A493B" w:rsidRDefault="0005348D" w:rsidP="00F84396">
      <w:pPr>
        <w:pStyle w:val="Balk1"/>
        <w:ind w:left="1386" w:right="1386"/>
        <w:jc w:val="both"/>
      </w:pPr>
      <w:r>
        <w:t>ÜÇÜNCÜ BÖLÜM</w:t>
      </w:r>
    </w:p>
    <w:p w14:paraId="45B553B3" w14:textId="77777777" w:rsidR="000A493B" w:rsidRDefault="0005348D" w:rsidP="00F84396">
      <w:pPr>
        <w:ind w:left="1386" w:right="1386"/>
        <w:jc w:val="both"/>
        <w:rPr>
          <w:b/>
          <w:sz w:val="24"/>
        </w:rPr>
      </w:pPr>
      <w:r>
        <w:rPr>
          <w:b/>
          <w:sz w:val="24"/>
        </w:rPr>
        <w:t>Çeşitli ve Son Hükümler</w:t>
      </w:r>
    </w:p>
    <w:p w14:paraId="5858C39B" w14:textId="77777777" w:rsidR="000A493B" w:rsidRDefault="000A493B" w:rsidP="00F84396">
      <w:pPr>
        <w:pStyle w:val="GvdeMetni"/>
        <w:ind w:left="0"/>
        <w:jc w:val="both"/>
        <w:rPr>
          <w:b/>
          <w:sz w:val="26"/>
        </w:rPr>
      </w:pPr>
    </w:p>
    <w:p w14:paraId="6054F962" w14:textId="77777777" w:rsidR="000A493B" w:rsidRDefault="0005348D" w:rsidP="00F84396">
      <w:pPr>
        <w:pStyle w:val="GvdeMetni"/>
        <w:spacing w:before="218" w:line="237" w:lineRule="auto"/>
        <w:ind w:right="126"/>
        <w:jc w:val="both"/>
      </w:pPr>
      <w:r>
        <w:rPr>
          <w:b/>
        </w:rPr>
        <w:t xml:space="preserve">MADDE 8- (1) </w:t>
      </w:r>
      <w:r>
        <w:rPr>
          <w:color w:val="424242"/>
        </w:rPr>
        <w:t>Misafir öğrenciler ilgili mevzuat hükümleri çerçevesinde Senato ve ÜYK tarafından belirlenen esaslara tabidir.</w:t>
      </w:r>
    </w:p>
    <w:p w14:paraId="36F009E8" w14:textId="77777777" w:rsidR="000A493B" w:rsidRDefault="0005348D" w:rsidP="00F84396">
      <w:pPr>
        <w:pStyle w:val="ListeParagraf"/>
        <w:numPr>
          <w:ilvl w:val="0"/>
          <w:numId w:val="1"/>
        </w:numPr>
        <w:tabs>
          <w:tab w:val="left" w:pos="458"/>
        </w:tabs>
        <w:spacing w:before="3"/>
        <w:ind w:right="125" w:firstLine="0"/>
        <w:jc w:val="both"/>
        <w:rPr>
          <w:sz w:val="24"/>
        </w:rPr>
      </w:pPr>
      <w:r>
        <w:rPr>
          <w:color w:val="424242"/>
          <w:sz w:val="24"/>
        </w:rPr>
        <w:t xml:space="preserve">Misafir öğrencilere diploma </w:t>
      </w:r>
      <w:r>
        <w:rPr>
          <w:color w:val="424242"/>
          <w:spacing w:val="-3"/>
          <w:sz w:val="24"/>
        </w:rPr>
        <w:t xml:space="preserve">ya </w:t>
      </w:r>
      <w:r>
        <w:rPr>
          <w:color w:val="424242"/>
          <w:sz w:val="24"/>
        </w:rPr>
        <w:t xml:space="preserve">da unvan verilmez; ancak, ilgili yarıyıl sonunda Öğrenci İşleri Daire Başkanlığı tarafından aldıkları dersleri ve </w:t>
      </w:r>
      <w:r>
        <w:rPr>
          <w:color w:val="424242"/>
          <w:sz w:val="24"/>
        </w:rPr>
        <w:t>notları gösteren not belgesi (transkript) verilir.</w:t>
      </w:r>
    </w:p>
    <w:p w14:paraId="31B8D2F0" w14:textId="77777777" w:rsidR="000A493B" w:rsidRDefault="0005348D" w:rsidP="00F84396">
      <w:pPr>
        <w:pStyle w:val="ListeParagraf"/>
        <w:numPr>
          <w:ilvl w:val="0"/>
          <w:numId w:val="1"/>
        </w:numPr>
        <w:tabs>
          <w:tab w:val="left" w:pos="455"/>
        </w:tabs>
        <w:ind w:left="454" w:hanging="339"/>
        <w:jc w:val="both"/>
        <w:rPr>
          <w:sz w:val="24"/>
        </w:rPr>
      </w:pPr>
      <w:r>
        <w:rPr>
          <w:color w:val="424242"/>
          <w:sz w:val="24"/>
        </w:rPr>
        <w:t>Misafir öğrenciler ancak ÜYK tarafından belirlenen haklardan</w:t>
      </w:r>
      <w:r>
        <w:rPr>
          <w:color w:val="424242"/>
          <w:spacing w:val="-8"/>
          <w:sz w:val="24"/>
        </w:rPr>
        <w:t xml:space="preserve"> </w:t>
      </w:r>
      <w:r>
        <w:rPr>
          <w:color w:val="424242"/>
          <w:sz w:val="24"/>
        </w:rPr>
        <w:t>yararlanır.</w:t>
      </w:r>
    </w:p>
    <w:p w14:paraId="1A8109DF" w14:textId="77777777" w:rsidR="000A493B" w:rsidRDefault="0005348D" w:rsidP="00F84396">
      <w:pPr>
        <w:pStyle w:val="ListeParagraf"/>
        <w:numPr>
          <w:ilvl w:val="0"/>
          <w:numId w:val="1"/>
        </w:numPr>
        <w:tabs>
          <w:tab w:val="left" w:pos="458"/>
        </w:tabs>
        <w:ind w:right="116" w:firstLine="0"/>
        <w:jc w:val="both"/>
        <w:rPr>
          <w:sz w:val="24"/>
        </w:rPr>
      </w:pPr>
      <w:r>
        <w:rPr>
          <w:color w:val="424242"/>
          <w:sz w:val="24"/>
        </w:rPr>
        <w:t>Misafir öğrenciler Üniversitenin yönetmelik ve yönergelerinde belirtilen kurallara</w:t>
      </w:r>
      <w:r>
        <w:rPr>
          <w:color w:val="424242"/>
          <w:spacing w:val="-40"/>
          <w:sz w:val="24"/>
        </w:rPr>
        <w:t xml:space="preserve"> </w:t>
      </w:r>
      <w:r>
        <w:rPr>
          <w:color w:val="424242"/>
          <w:sz w:val="24"/>
        </w:rPr>
        <w:t>uymakla yükümlüdür.</w:t>
      </w:r>
    </w:p>
    <w:p w14:paraId="63646AD4" w14:textId="77777777" w:rsidR="000A493B" w:rsidRDefault="0005348D" w:rsidP="00F84396">
      <w:pPr>
        <w:pStyle w:val="ListeParagraf"/>
        <w:numPr>
          <w:ilvl w:val="0"/>
          <w:numId w:val="1"/>
        </w:numPr>
        <w:tabs>
          <w:tab w:val="left" w:pos="455"/>
        </w:tabs>
        <w:ind w:left="454" w:hanging="339"/>
        <w:jc w:val="both"/>
        <w:rPr>
          <w:sz w:val="24"/>
        </w:rPr>
      </w:pPr>
      <w:r>
        <w:rPr>
          <w:color w:val="424242"/>
          <w:sz w:val="24"/>
        </w:rPr>
        <w:t xml:space="preserve">Misafir öğrenci statüsündeki </w:t>
      </w:r>
      <w:r>
        <w:rPr>
          <w:color w:val="424242"/>
          <w:sz w:val="24"/>
        </w:rPr>
        <w:t>erkek öğrencilerin askerlik sevk tehir işlemleri</w:t>
      </w:r>
      <w:r>
        <w:rPr>
          <w:color w:val="424242"/>
          <w:spacing w:val="-29"/>
          <w:sz w:val="24"/>
        </w:rPr>
        <w:t xml:space="preserve"> </w:t>
      </w:r>
      <w:r>
        <w:rPr>
          <w:color w:val="424242"/>
          <w:sz w:val="24"/>
        </w:rPr>
        <w:t>yapılmaz.</w:t>
      </w:r>
    </w:p>
    <w:p w14:paraId="1E633769" w14:textId="77777777" w:rsidR="000A493B" w:rsidRDefault="000A493B" w:rsidP="00F84396">
      <w:pPr>
        <w:pStyle w:val="GvdeMetni"/>
        <w:spacing w:before="5"/>
        <w:ind w:left="0"/>
        <w:jc w:val="both"/>
      </w:pPr>
    </w:p>
    <w:p w14:paraId="5F517C4D" w14:textId="77777777" w:rsidR="000A493B" w:rsidRDefault="0005348D" w:rsidP="00F84396">
      <w:pPr>
        <w:pStyle w:val="Balk1"/>
        <w:spacing w:line="274" w:lineRule="exact"/>
        <w:jc w:val="both"/>
      </w:pPr>
      <w:r>
        <w:t>Hükmü Bulunmayan Haller</w:t>
      </w:r>
    </w:p>
    <w:p w14:paraId="541A88E9" w14:textId="77777777" w:rsidR="000A493B" w:rsidRDefault="0005348D" w:rsidP="00F84396">
      <w:pPr>
        <w:pStyle w:val="GvdeMetni"/>
        <w:jc w:val="both"/>
      </w:pPr>
      <w:r>
        <w:rPr>
          <w:b/>
        </w:rPr>
        <w:t xml:space="preserve">MADDE 9- </w:t>
      </w:r>
      <w:r>
        <w:rPr>
          <w:color w:val="424242"/>
        </w:rPr>
        <w:t xml:space="preserve">Bu Yönergede hükmü bulunmayan hallerde Senato, ÜYK kararları ve ilgili diğer </w:t>
      </w:r>
      <w:proofErr w:type="gramStart"/>
      <w:r>
        <w:rPr>
          <w:color w:val="424242"/>
        </w:rPr>
        <w:t>mevzuat</w:t>
      </w:r>
      <w:proofErr w:type="gramEnd"/>
      <w:r>
        <w:rPr>
          <w:color w:val="424242"/>
        </w:rPr>
        <w:t xml:space="preserve"> hükümleri ve ilgili kurul kararları uygulanır.</w:t>
      </w:r>
    </w:p>
    <w:p w14:paraId="190344EA" w14:textId="77777777" w:rsidR="000A493B" w:rsidRDefault="000A493B" w:rsidP="00F84396">
      <w:pPr>
        <w:pStyle w:val="GvdeMetni"/>
        <w:spacing w:before="3"/>
        <w:ind w:left="0"/>
        <w:jc w:val="both"/>
      </w:pPr>
    </w:p>
    <w:p w14:paraId="2D77788F" w14:textId="77777777" w:rsidR="000A493B" w:rsidRDefault="0005348D" w:rsidP="00F84396">
      <w:pPr>
        <w:pStyle w:val="Balk1"/>
        <w:spacing w:line="272" w:lineRule="exact"/>
        <w:jc w:val="both"/>
      </w:pPr>
      <w:r>
        <w:t>Yürürlük</w:t>
      </w:r>
    </w:p>
    <w:p w14:paraId="5B58DE97" w14:textId="77777777" w:rsidR="000A493B" w:rsidRDefault="0005348D" w:rsidP="00F84396">
      <w:pPr>
        <w:pStyle w:val="GvdeMetni"/>
        <w:spacing w:line="272" w:lineRule="exact"/>
        <w:jc w:val="both"/>
      </w:pPr>
      <w:r>
        <w:rPr>
          <w:b/>
        </w:rPr>
        <w:t xml:space="preserve">MADDE 10- </w:t>
      </w:r>
      <w:r>
        <w:rPr>
          <w:color w:val="424242"/>
        </w:rPr>
        <w:t>Bu yönerge Senato tarafından kabul edildiği tarihte yürürlüğe girer.</w:t>
      </w:r>
    </w:p>
    <w:p w14:paraId="7B601C1F" w14:textId="77777777" w:rsidR="000A493B" w:rsidRDefault="000A493B" w:rsidP="00F84396">
      <w:pPr>
        <w:pStyle w:val="GvdeMetni"/>
        <w:spacing w:before="5"/>
        <w:ind w:left="0"/>
        <w:jc w:val="both"/>
      </w:pPr>
    </w:p>
    <w:p w14:paraId="3123C63A" w14:textId="77777777" w:rsidR="000A493B" w:rsidRDefault="0005348D" w:rsidP="00F84396">
      <w:pPr>
        <w:pStyle w:val="Balk1"/>
        <w:spacing w:line="275" w:lineRule="exact"/>
        <w:jc w:val="both"/>
      </w:pPr>
      <w:r>
        <w:t>Yürütme</w:t>
      </w:r>
    </w:p>
    <w:p w14:paraId="44786760" w14:textId="56D8EFA9" w:rsidR="000A493B" w:rsidRDefault="0005348D" w:rsidP="00F84396">
      <w:pPr>
        <w:pStyle w:val="GvdeMetni"/>
        <w:jc w:val="both"/>
        <w:rPr>
          <w:color w:val="424242"/>
        </w:rPr>
      </w:pPr>
      <w:r>
        <w:rPr>
          <w:b/>
        </w:rPr>
        <w:t xml:space="preserve">MADDE 11- </w:t>
      </w:r>
      <w:r>
        <w:rPr>
          <w:color w:val="424242"/>
        </w:rPr>
        <w:t>Bu yönerge hükümleri, Tekirdağ Namık Kemal Üniversitesi Rektörü tarafından yürütülür.</w:t>
      </w:r>
    </w:p>
    <w:p w14:paraId="5B6EF8D0" w14:textId="4B4C3C46" w:rsidR="00F84396" w:rsidRDefault="00F84396" w:rsidP="00F84396">
      <w:pPr>
        <w:pStyle w:val="GvdeMetni"/>
        <w:jc w:val="both"/>
      </w:pPr>
    </w:p>
    <w:p w14:paraId="05D3772E" w14:textId="77777777" w:rsidR="00F84396" w:rsidRDefault="00F84396" w:rsidP="00F84396">
      <w:pPr>
        <w:spacing w:before="11"/>
        <w:ind w:left="20"/>
        <w:jc w:val="both"/>
        <w:rPr>
          <w:b/>
          <w:bCs/>
        </w:rPr>
      </w:pPr>
    </w:p>
    <w:p w14:paraId="127818B4" w14:textId="47CFB159" w:rsidR="00F84396" w:rsidRPr="00F84396" w:rsidRDefault="00F84396" w:rsidP="00F84396">
      <w:pPr>
        <w:spacing w:before="11"/>
        <w:ind w:left="20"/>
        <w:jc w:val="both"/>
        <w:rPr>
          <w:b/>
          <w:bCs/>
        </w:rPr>
      </w:pPr>
      <w:r w:rsidRPr="00F84396">
        <w:rPr>
          <w:b/>
          <w:bCs/>
        </w:rPr>
        <w:t>*</w:t>
      </w:r>
      <w:r w:rsidRPr="00F84396">
        <w:rPr>
          <w:b/>
          <w:bCs/>
        </w:rPr>
        <w:t>Senato Kararı:01/10/2021 Tarih, Toplantı Sayısı 16 ve Karar Sayı 03</w:t>
      </w:r>
    </w:p>
    <w:p w14:paraId="46B114CF" w14:textId="77777777" w:rsidR="00F84396" w:rsidRDefault="00F84396" w:rsidP="00F84396">
      <w:pPr>
        <w:pStyle w:val="GvdeMetni"/>
        <w:jc w:val="both"/>
      </w:pPr>
    </w:p>
    <w:sectPr w:rsidR="00F84396">
      <w:pgSz w:w="11920" w:h="16850"/>
      <w:pgMar w:top="1300" w:right="1300" w:bottom="280" w:left="1300" w:header="71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DE0567" w14:textId="77777777" w:rsidR="0005348D" w:rsidRDefault="0005348D">
      <w:r>
        <w:separator/>
      </w:r>
    </w:p>
  </w:endnote>
  <w:endnote w:type="continuationSeparator" w:id="0">
    <w:p w14:paraId="37EDF3DD" w14:textId="77777777" w:rsidR="0005348D" w:rsidRDefault="00053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03FC2B" w14:textId="77777777" w:rsidR="0005348D" w:rsidRDefault="0005348D">
      <w:r>
        <w:separator/>
      </w:r>
    </w:p>
  </w:footnote>
  <w:footnote w:type="continuationSeparator" w:id="0">
    <w:p w14:paraId="71E8AD20" w14:textId="77777777" w:rsidR="0005348D" w:rsidRDefault="000534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A91778" w14:textId="77777777" w:rsidR="00F84396" w:rsidRDefault="00F84396" w:rsidP="00F84396">
    <w:pPr>
      <w:pStyle w:val="GvdeMetni"/>
      <w:tabs>
        <w:tab w:val="left" w:pos="1440"/>
      </w:tabs>
      <w:spacing w:line="14" w:lineRule="auto"/>
      <w:ind w:left="0"/>
      <w:rPr>
        <w:sz w:val="20"/>
      </w:rPr>
    </w:pPr>
    <w:r>
      <w:rPr>
        <w:sz w:val="20"/>
      </w:rPr>
      <w:tab/>
    </w:r>
  </w:p>
  <w:p w14:paraId="1837560D" w14:textId="14864F9E" w:rsidR="000A493B" w:rsidRDefault="000A493B" w:rsidP="00F84396">
    <w:pPr>
      <w:pStyle w:val="GvdeMetni"/>
      <w:tabs>
        <w:tab w:val="left" w:pos="1440"/>
      </w:tabs>
      <w:spacing w:line="14" w:lineRule="auto"/>
      <w:ind w:left="0"/>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939" w:type="dxa"/>
      <w:tblInd w:w="-15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702"/>
      <w:gridCol w:w="4394"/>
      <w:gridCol w:w="2004"/>
      <w:gridCol w:w="1839"/>
    </w:tblGrid>
    <w:tr w:rsidR="00F84396" w:rsidRPr="00270736" w14:paraId="7C373ABE" w14:textId="77777777" w:rsidTr="008A13F1">
      <w:trPr>
        <w:trHeight w:val="292"/>
      </w:trPr>
      <w:tc>
        <w:tcPr>
          <w:tcW w:w="1702" w:type="dxa"/>
          <w:vMerge w:val="restart"/>
          <w:tcBorders>
            <w:top w:val="single" w:sz="4" w:space="0" w:color="auto"/>
            <w:left w:val="single" w:sz="4" w:space="0" w:color="auto"/>
            <w:right w:val="single" w:sz="6" w:space="0" w:color="000000"/>
          </w:tcBorders>
          <w:shd w:val="clear" w:color="auto" w:fill="auto"/>
        </w:tcPr>
        <w:p w14:paraId="470C4461" w14:textId="4DC83AD4" w:rsidR="00F84396" w:rsidRPr="00270736" w:rsidRDefault="00F84396" w:rsidP="00F84396">
          <w:pPr>
            <w:pStyle w:val="TableParagraph"/>
            <w:spacing w:before="2"/>
            <w:rPr>
              <w:sz w:val="8"/>
            </w:rPr>
          </w:pPr>
        </w:p>
        <w:p w14:paraId="3CA82264" w14:textId="1585C47D" w:rsidR="00F84396" w:rsidRPr="00270736" w:rsidRDefault="00F84396" w:rsidP="00F84396">
          <w:pPr>
            <w:pStyle w:val="TableParagraph"/>
            <w:ind w:left="323"/>
            <w:rPr>
              <w:sz w:val="20"/>
            </w:rPr>
          </w:pPr>
          <w:r>
            <w:rPr>
              <w:noProof/>
            </w:rPr>
            <w:drawing>
              <wp:anchor distT="0" distB="0" distL="114300" distR="114300" simplePos="0" relativeHeight="251659776" behindDoc="1" locked="0" layoutInCell="1" allowOverlap="1" wp14:anchorId="2DE53928" wp14:editId="29610C71">
                <wp:simplePos x="0" y="0"/>
                <wp:positionH relativeFrom="column">
                  <wp:posOffset>102870</wp:posOffset>
                </wp:positionH>
                <wp:positionV relativeFrom="paragraph">
                  <wp:posOffset>35560</wp:posOffset>
                </wp:positionV>
                <wp:extent cx="913765" cy="866775"/>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3765" cy="8667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394" w:type="dxa"/>
          <w:vMerge w:val="restart"/>
          <w:tcBorders>
            <w:top w:val="single" w:sz="4" w:space="0" w:color="auto"/>
            <w:left w:val="single" w:sz="6" w:space="0" w:color="000000"/>
            <w:right w:val="single" w:sz="6" w:space="0" w:color="000000"/>
          </w:tcBorders>
          <w:shd w:val="clear" w:color="auto" w:fill="auto"/>
          <w:vAlign w:val="center"/>
        </w:tcPr>
        <w:p w14:paraId="193C3869" w14:textId="5DCF2C32" w:rsidR="00F84396" w:rsidRPr="00270736" w:rsidRDefault="00F84396" w:rsidP="00F84396">
          <w:pPr>
            <w:pStyle w:val="TableParagraph"/>
            <w:ind w:left="134" w:right="104"/>
            <w:jc w:val="center"/>
            <w:rPr>
              <w:b/>
              <w:sz w:val="24"/>
              <w:szCs w:val="24"/>
            </w:rPr>
          </w:pPr>
          <w:r w:rsidRPr="00270736">
            <w:rPr>
              <w:b/>
              <w:sz w:val="24"/>
              <w:szCs w:val="24"/>
            </w:rPr>
            <w:t xml:space="preserve">TNKÜ </w:t>
          </w:r>
          <w:r>
            <w:rPr>
              <w:b/>
              <w:sz w:val="24"/>
              <w:szCs w:val="24"/>
            </w:rPr>
            <w:t xml:space="preserve">                                                      MİSAFİR ÖĞRENCİ YÖNERGESİ</w:t>
          </w:r>
        </w:p>
      </w:tc>
      <w:tc>
        <w:tcPr>
          <w:tcW w:w="2004" w:type="dxa"/>
          <w:tcBorders>
            <w:top w:val="single" w:sz="4" w:space="0" w:color="auto"/>
            <w:left w:val="single" w:sz="6" w:space="0" w:color="000000"/>
            <w:bottom w:val="single" w:sz="6" w:space="0" w:color="000000"/>
            <w:right w:val="single" w:sz="6" w:space="0" w:color="000000"/>
          </w:tcBorders>
          <w:shd w:val="clear" w:color="auto" w:fill="auto"/>
          <w:vAlign w:val="center"/>
        </w:tcPr>
        <w:p w14:paraId="364CE511" w14:textId="77777777" w:rsidR="00F84396" w:rsidRPr="00270736" w:rsidRDefault="00F84396" w:rsidP="00F84396">
          <w:pPr>
            <w:pStyle w:val="TableParagraph"/>
            <w:spacing w:before="1" w:line="174" w:lineRule="exact"/>
            <w:ind w:left="34"/>
            <w:rPr>
              <w:sz w:val="20"/>
              <w:szCs w:val="24"/>
            </w:rPr>
          </w:pPr>
          <w:r w:rsidRPr="00270736">
            <w:rPr>
              <w:w w:val="105"/>
              <w:sz w:val="20"/>
              <w:szCs w:val="24"/>
            </w:rPr>
            <w:t>Doküman No:</w:t>
          </w:r>
        </w:p>
      </w:tc>
      <w:tc>
        <w:tcPr>
          <w:tcW w:w="1839" w:type="dxa"/>
          <w:tcBorders>
            <w:top w:val="single" w:sz="4" w:space="0" w:color="auto"/>
            <w:left w:val="single" w:sz="6" w:space="0" w:color="000000"/>
            <w:bottom w:val="single" w:sz="6" w:space="0" w:color="000000"/>
            <w:right w:val="single" w:sz="4" w:space="0" w:color="auto"/>
          </w:tcBorders>
          <w:shd w:val="clear" w:color="auto" w:fill="auto"/>
          <w:vAlign w:val="center"/>
        </w:tcPr>
        <w:p w14:paraId="3EFC9D9C" w14:textId="2222EC89" w:rsidR="00F84396" w:rsidRPr="00270736" w:rsidRDefault="00F84396" w:rsidP="00F84396">
          <w:pPr>
            <w:pStyle w:val="TableParagraph"/>
            <w:spacing w:line="176" w:lineRule="exact"/>
            <w:ind w:right="446"/>
            <w:rPr>
              <w:sz w:val="20"/>
              <w:szCs w:val="24"/>
            </w:rPr>
          </w:pPr>
          <w:r w:rsidRPr="00270736">
            <w:rPr>
              <w:sz w:val="20"/>
              <w:szCs w:val="24"/>
            </w:rPr>
            <w:t xml:space="preserve"> EYS-YNG-08</w:t>
          </w:r>
          <w:r>
            <w:rPr>
              <w:sz w:val="20"/>
              <w:szCs w:val="24"/>
            </w:rPr>
            <w:t>9</w:t>
          </w:r>
        </w:p>
      </w:tc>
    </w:tr>
    <w:tr w:rsidR="00F84396" w:rsidRPr="00270736" w14:paraId="72F9CF52" w14:textId="77777777" w:rsidTr="008A13F1">
      <w:trPr>
        <w:trHeight w:val="292"/>
      </w:trPr>
      <w:tc>
        <w:tcPr>
          <w:tcW w:w="1702" w:type="dxa"/>
          <w:vMerge/>
          <w:tcBorders>
            <w:left w:val="single" w:sz="4" w:space="0" w:color="auto"/>
            <w:right w:val="single" w:sz="6" w:space="0" w:color="000000"/>
          </w:tcBorders>
          <w:shd w:val="clear" w:color="auto" w:fill="auto"/>
        </w:tcPr>
        <w:p w14:paraId="6DD57964" w14:textId="77777777" w:rsidR="00F84396" w:rsidRPr="00270736" w:rsidRDefault="00F84396" w:rsidP="00F84396">
          <w:pPr>
            <w:rPr>
              <w:sz w:val="2"/>
              <w:szCs w:val="2"/>
            </w:rPr>
          </w:pPr>
        </w:p>
      </w:tc>
      <w:tc>
        <w:tcPr>
          <w:tcW w:w="4394" w:type="dxa"/>
          <w:vMerge/>
          <w:tcBorders>
            <w:left w:val="single" w:sz="6" w:space="0" w:color="000000"/>
            <w:right w:val="single" w:sz="6" w:space="0" w:color="000000"/>
          </w:tcBorders>
          <w:shd w:val="clear" w:color="auto" w:fill="auto"/>
        </w:tcPr>
        <w:p w14:paraId="319EE099" w14:textId="77777777" w:rsidR="00F84396" w:rsidRPr="00270736" w:rsidRDefault="00F84396" w:rsidP="00F84396">
          <w:pPr>
            <w:rPr>
              <w:sz w:val="24"/>
              <w:szCs w:val="24"/>
            </w:rPr>
          </w:pPr>
        </w:p>
      </w:tc>
      <w:tc>
        <w:tcPr>
          <w:tcW w:w="200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71B1D62" w14:textId="77777777" w:rsidR="00F84396" w:rsidRPr="00270736" w:rsidRDefault="00F84396" w:rsidP="00F84396">
          <w:pPr>
            <w:pStyle w:val="TableParagraph"/>
            <w:spacing w:line="176" w:lineRule="exact"/>
            <w:ind w:left="34"/>
            <w:rPr>
              <w:sz w:val="20"/>
              <w:szCs w:val="24"/>
            </w:rPr>
          </w:pPr>
          <w:r w:rsidRPr="00270736">
            <w:rPr>
              <w:w w:val="105"/>
              <w:sz w:val="20"/>
              <w:szCs w:val="24"/>
            </w:rPr>
            <w:t>Hazırlama Tarihi:</w:t>
          </w:r>
        </w:p>
      </w:tc>
      <w:tc>
        <w:tcPr>
          <w:tcW w:w="1839" w:type="dxa"/>
          <w:tcBorders>
            <w:top w:val="single" w:sz="6" w:space="0" w:color="000000"/>
            <w:left w:val="single" w:sz="6" w:space="0" w:color="000000"/>
            <w:bottom w:val="single" w:sz="6" w:space="0" w:color="000000"/>
            <w:right w:val="single" w:sz="4" w:space="0" w:color="auto"/>
          </w:tcBorders>
          <w:shd w:val="clear" w:color="auto" w:fill="auto"/>
          <w:vAlign w:val="center"/>
        </w:tcPr>
        <w:p w14:paraId="2642FD3D" w14:textId="3D812A24" w:rsidR="00F84396" w:rsidRPr="00270736" w:rsidRDefault="00F84396" w:rsidP="00F84396">
          <w:pPr>
            <w:pStyle w:val="TableParagraph"/>
            <w:spacing w:line="176" w:lineRule="exact"/>
            <w:ind w:right="446"/>
            <w:rPr>
              <w:sz w:val="20"/>
              <w:szCs w:val="24"/>
            </w:rPr>
          </w:pPr>
          <w:r w:rsidRPr="00270736">
            <w:rPr>
              <w:sz w:val="20"/>
              <w:szCs w:val="24"/>
            </w:rPr>
            <w:t xml:space="preserve"> </w:t>
          </w:r>
          <w:r>
            <w:rPr>
              <w:sz w:val="20"/>
              <w:szCs w:val="24"/>
            </w:rPr>
            <w:t>03.10</w:t>
          </w:r>
          <w:r>
            <w:rPr>
              <w:sz w:val="20"/>
              <w:szCs w:val="24"/>
            </w:rPr>
            <w:t>.</w:t>
          </w:r>
          <w:r w:rsidRPr="00270736">
            <w:rPr>
              <w:sz w:val="20"/>
              <w:szCs w:val="24"/>
            </w:rPr>
            <w:t>2022</w:t>
          </w:r>
        </w:p>
      </w:tc>
    </w:tr>
    <w:tr w:rsidR="00F84396" w:rsidRPr="00270736" w14:paraId="6CFF43DD" w14:textId="77777777" w:rsidTr="008A13F1">
      <w:trPr>
        <w:trHeight w:val="292"/>
      </w:trPr>
      <w:tc>
        <w:tcPr>
          <w:tcW w:w="1702" w:type="dxa"/>
          <w:vMerge/>
          <w:tcBorders>
            <w:left w:val="single" w:sz="4" w:space="0" w:color="auto"/>
            <w:right w:val="single" w:sz="6" w:space="0" w:color="000000"/>
          </w:tcBorders>
          <w:shd w:val="clear" w:color="auto" w:fill="auto"/>
        </w:tcPr>
        <w:p w14:paraId="74936589" w14:textId="77777777" w:rsidR="00F84396" w:rsidRPr="00270736" w:rsidRDefault="00F84396" w:rsidP="00F84396">
          <w:pPr>
            <w:rPr>
              <w:sz w:val="2"/>
              <w:szCs w:val="2"/>
            </w:rPr>
          </w:pPr>
        </w:p>
      </w:tc>
      <w:tc>
        <w:tcPr>
          <w:tcW w:w="4394" w:type="dxa"/>
          <w:vMerge/>
          <w:tcBorders>
            <w:left w:val="single" w:sz="6" w:space="0" w:color="000000"/>
            <w:right w:val="single" w:sz="6" w:space="0" w:color="000000"/>
          </w:tcBorders>
          <w:shd w:val="clear" w:color="auto" w:fill="auto"/>
        </w:tcPr>
        <w:p w14:paraId="55AB3693" w14:textId="77777777" w:rsidR="00F84396" w:rsidRPr="00270736" w:rsidRDefault="00F84396" w:rsidP="00F84396">
          <w:pPr>
            <w:rPr>
              <w:sz w:val="24"/>
              <w:szCs w:val="24"/>
            </w:rPr>
          </w:pPr>
        </w:p>
      </w:tc>
      <w:tc>
        <w:tcPr>
          <w:tcW w:w="200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4597E58" w14:textId="77777777" w:rsidR="00F84396" w:rsidRPr="00270736" w:rsidRDefault="00F84396" w:rsidP="00F84396">
          <w:pPr>
            <w:pStyle w:val="TableParagraph"/>
            <w:spacing w:line="176" w:lineRule="exact"/>
            <w:ind w:left="34"/>
            <w:rPr>
              <w:sz w:val="20"/>
              <w:szCs w:val="24"/>
            </w:rPr>
          </w:pPr>
          <w:r w:rsidRPr="00270736">
            <w:rPr>
              <w:w w:val="105"/>
              <w:sz w:val="20"/>
              <w:szCs w:val="24"/>
            </w:rPr>
            <w:t>Revizyon Tarihi:</w:t>
          </w:r>
        </w:p>
      </w:tc>
      <w:tc>
        <w:tcPr>
          <w:tcW w:w="1839" w:type="dxa"/>
          <w:tcBorders>
            <w:top w:val="single" w:sz="6" w:space="0" w:color="000000"/>
            <w:left w:val="single" w:sz="6" w:space="0" w:color="000000"/>
            <w:bottom w:val="single" w:sz="6" w:space="0" w:color="000000"/>
            <w:right w:val="single" w:sz="4" w:space="0" w:color="auto"/>
          </w:tcBorders>
          <w:shd w:val="clear" w:color="auto" w:fill="auto"/>
          <w:vAlign w:val="center"/>
        </w:tcPr>
        <w:p w14:paraId="1850C0C0" w14:textId="77777777" w:rsidR="00F84396" w:rsidRPr="00270736" w:rsidRDefault="00F84396" w:rsidP="00F84396">
          <w:pPr>
            <w:pStyle w:val="TableParagraph"/>
            <w:spacing w:line="176" w:lineRule="exact"/>
            <w:ind w:right="444"/>
            <w:rPr>
              <w:sz w:val="20"/>
              <w:szCs w:val="24"/>
            </w:rPr>
          </w:pPr>
          <w:r w:rsidRPr="00270736">
            <w:rPr>
              <w:sz w:val="20"/>
              <w:szCs w:val="24"/>
            </w:rPr>
            <w:t>--</w:t>
          </w:r>
        </w:p>
      </w:tc>
    </w:tr>
    <w:tr w:rsidR="00F84396" w:rsidRPr="00270736" w14:paraId="7BCFA469" w14:textId="77777777" w:rsidTr="008A13F1">
      <w:trPr>
        <w:trHeight w:val="292"/>
      </w:trPr>
      <w:tc>
        <w:tcPr>
          <w:tcW w:w="1702" w:type="dxa"/>
          <w:vMerge/>
          <w:tcBorders>
            <w:left w:val="single" w:sz="4" w:space="0" w:color="auto"/>
            <w:right w:val="single" w:sz="6" w:space="0" w:color="000000"/>
          </w:tcBorders>
          <w:shd w:val="clear" w:color="auto" w:fill="auto"/>
        </w:tcPr>
        <w:p w14:paraId="17DB6561" w14:textId="77777777" w:rsidR="00F84396" w:rsidRPr="00270736" w:rsidRDefault="00F84396" w:rsidP="00F84396">
          <w:pPr>
            <w:rPr>
              <w:sz w:val="2"/>
              <w:szCs w:val="2"/>
            </w:rPr>
          </w:pPr>
        </w:p>
      </w:tc>
      <w:tc>
        <w:tcPr>
          <w:tcW w:w="4394" w:type="dxa"/>
          <w:vMerge/>
          <w:tcBorders>
            <w:left w:val="single" w:sz="6" w:space="0" w:color="000000"/>
            <w:right w:val="single" w:sz="6" w:space="0" w:color="000000"/>
          </w:tcBorders>
          <w:shd w:val="clear" w:color="auto" w:fill="auto"/>
        </w:tcPr>
        <w:p w14:paraId="56CD09E3" w14:textId="77777777" w:rsidR="00F84396" w:rsidRPr="00270736" w:rsidRDefault="00F84396" w:rsidP="00F84396">
          <w:pPr>
            <w:rPr>
              <w:sz w:val="24"/>
              <w:szCs w:val="24"/>
            </w:rPr>
          </w:pPr>
        </w:p>
      </w:tc>
      <w:tc>
        <w:tcPr>
          <w:tcW w:w="200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3012687" w14:textId="77777777" w:rsidR="00F84396" w:rsidRPr="00270736" w:rsidRDefault="00F84396" w:rsidP="00F84396">
          <w:pPr>
            <w:pStyle w:val="TableParagraph"/>
            <w:spacing w:line="176" w:lineRule="exact"/>
            <w:ind w:left="34"/>
            <w:rPr>
              <w:sz w:val="20"/>
              <w:szCs w:val="24"/>
            </w:rPr>
          </w:pPr>
          <w:r w:rsidRPr="00270736">
            <w:rPr>
              <w:w w:val="105"/>
              <w:sz w:val="20"/>
              <w:szCs w:val="24"/>
            </w:rPr>
            <w:t>Revizyon No:</w:t>
          </w:r>
        </w:p>
      </w:tc>
      <w:tc>
        <w:tcPr>
          <w:tcW w:w="1839" w:type="dxa"/>
          <w:tcBorders>
            <w:top w:val="single" w:sz="6" w:space="0" w:color="000000"/>
            <w:left w:val="single" w:sz="6" w:space="0" w:color="000000"/>
            <w:bottom w:val="single" w:sz="4" w:space="0" w:color="auto"/>
            <w:right w:val="single" w:sz="4" w:space="0" w:color="auto"/>
          </w:tcBorders>
          <w:shd w:val="clear" w:color="auto" w:fill="auto"/>
          <w:vAlign w:val="center"/>
        </w:tcPr>
        <w:p w14:paraId="2E2FD373" w14:textId="77777777" w:rsidR="00F84396" w:rsidRPr="00270736" w:rsidRDefault="00F84396" w:rsidP="00F84396">
          <w:pPr>
            <w:pStyle w:val="TableParagraph"/>
            <w:spacing w:line="176" w:lineRule="exact"/>
            <w:ind w:right="444"/>
            <w:rPr>
              <w:sz w:val="20"/>
              <w:szCs w:val="24"/>
            </w:rPr>
          </w:pPr>
          <w:r w:rsidRPr="00270736">
            <w:rPr>
              <w:sz w:val="20"/>
              <w:szCs w:val="24"/>
            </w:rPr>
            <w:t xml:space="preserve"> </w:t>
          </w:r>
          <w:r>
            <w:rPr>
              <w:sz w:val="20"/>
              <w:szCs w:val="24"/>
            </w:rPr>
            <w:t>0</w:t>
          </w:r>
        </w:p>
      </w:tc>
    </w:tr>
    <w:tr w:rsidR="00F84396" w:rsidRPr="00270736" w14:paraId="06DB80B4" w14:textId="77777777" w:rsidTr="008A13F1">
      <w:trPr>
        <w:trHeight w:val="292"/>
      </w:trPr>
      <w:tc>
        <w:tcPr>
          <w:tcW w:w="1702" w:type="dxa"/>
          <w:vMerge/>
          <w:tcBorders>
            <w:left w:val="single" w:sz="4" w:space="0" w:color="auto"/>
            <w:bottom w:val="single" w:sz="4" w:space="0" w:color="auto"/>
            <w:right w:val="single" w:sz="6" w:space="0" w:color="000000"/>
          </w:tcBorders>
          <w:shd w:val="clear" w:color="auto" w:fill="auto"/>
        </w:tcPr>
        <w:p w14:paraId="67E354D7" w14:textId="77777777" w:rsidR="00F84396" w:rsidRPr="00270736" w:rsidRDefault="00F84396" w:rsidP="00F84396">
          <w:pPr>
            <w:rPr>
              <w:sz w:val="2"/>
              <w:szCs w:val="2"/>
            </w:rPr>
          </w:pPr>
        </w:p>
      </w:tc>
      <w:tc>
        <w:tcPr>
          <w:tcW w:w="4394" w:type="dxa"/>
          <w:vMerge/>
          <w:tcBorders>
            <w:left w:val="single" w:sz="6" w:space="0" w:color="000000"/>
            <w:bottom w:val="single" w:sz="4" w:space="0" w:color="auto"/>
            <w:right w:val="single" w:sz="6" w:space="0" w:color="000000"/>
          </w:tcBorders>
          <w:shd w:val="clear" w:color="auto" w:fill="auto"/>
        </w:tcPr>
        <w:p w14:paraId="173AB052" w14:textId="77777777" w:rsidR="00F84396" w:rsidRPr="00270736" w:rsidRDefault="00F84396" w:rsidP="00F84396">
          <w:pPr>
            <w:rPr>
              <w:sz w:val="24"/>
              <w:szCs w:val="24"/>
            </w:rPr>
          </w:pPr>
        </w:p>
      </w:tc>
      <w:tc>
        <w:tcPr>
          <w:tcW w:w="200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18B0910" w14:textId="77777777" w:rsidR="00F84396" w:rsidRPr="00270736" w:rsidRDefault="00F84396" w:rsidP="00F84396">
          <w:pPr>
            <w:pStyle w:val="TableParagraph"/>
            <w:spacing w:line="176" w:lineRule="exact"/>
            <w:ind w:left="34"/>
            <w:rPr>
              <w:w w:val="105"/>
              <w:sz w:val="20"/>
              <w:szCs w:val="24"/>
            </w:rPr>
          </w:pPr>
          <w:r>
            <w:rPr>
              <w:w w:val="105"/>
              <w:sz w:val="20"/>
              <w:szCs w:val="24"/>
            </w:rPr>
            <w:t>Toplam Sayfa Sayısı</w:t>
          </w:r>
        </w:p>
      </w:tc>
      <w:tc>
        <w:tcPr>
          <w:tcW w:w="1839" w:type="dxa"/>
          <w:tcBorders>
            <w:top w:val="single" w:sz="4" w:space="0" w:color="auto"/>
            <w:left w:val="single" w:sz="6" w:space="0" w:color="000000"/>
            <w:bottom w:val="single" w:sz="6" w:space="0" w:color="000000"/>
            <w:right w:val="single" w:sz="4" w:space="0" w:color="auto"/>
          </w:tcBorders>
          <w:shd w:val="clear" w:color="auto" w:fill="auto"/>
          <w:vAlign w:val="center"/>
        </w:tcPr>
        <w:p w14:paraId="0DE78B66" w14:textId="6D86F4ED" w:rsidR="00F84396" w:rsidRPr="00270736" w:rsidRDefault="00F84396" w:rsidP="00F84396">
          <w:pPr>
            <w:pStyle w:val="TableParagraph"/>
            <w:spacing w:line="176" w:lineRule="exact"/>
            <w:ind w:right="444"/>
            <w:rPr>
              <w:sz w:val="20"/>
              <w:szCs w:val="24"/>
            </w:rPr>
          </w:pPr>
          <w:r>
            <w:rPr>
              <w:sz w:val="20"/>
              <w:szCs w:val="24"/>
            </w:rPr>
            <w:t xml:space="preserve"> </w:t>
          </w:r>
          <w:r>
            <w:rPr>
              <w:sz w:val="20"/>
              <w:szCs w:val="24"/>
            </w:rPr>
            <w:t>2</w:t>
          </w:r>
        </w:p>
      </w:tc>
    </w:tr>
  </w:tbl>
  <w:p w14:paraId="54B7AF10" w14:textId="77777777" w:rsidR="00F84396" w:rsidRDefault="00F84396">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6E463E"/>
    <w:multiLevelType w:val="hybridMultilevel"/>
    <w:tmpl w:val="FE98A04E"/>
    <w:lvl w:ilvl="0" w:tplc="62EA365C">
      <w:start w:val="2"/>
      <w:numFmt w:val="decimal"/>
      <w:lvlText w:val="(%1)"/>
      <w:lvlJc w:val="left"/>
      <w:pPr>
        <w:ind w:left="116" w:hanging="341"/>
        <w:jc w:val="left"/>
      </w:pPr>
      <w:rPr>
        <w:rFonts w:ascii="Times New Roman" w:eastAsia="Times New Roman" w:hAnsi="Times New Roman" w:cs="Times New Roman" w:hint="default"/>
        <w:b/>
        <w:bCs/>
        <w:w w:val="97"/>
        <w:sz w:val="24"/>
        <w:szCs w:val="24"/>
        <w:lang w:val="tr-TR" w:eastAsia="tr-TR" w:bidi="tr-TR"/>
      </w:rPr>
    </w:lvl>
    <w:lvl w:ilvl="1" w:tplc="CAAA9150">
      <w:numFmt w:val="bullet"/>
      <w:lvlText w:val="•"/>
      <w:lvlJc w:val="left"/>
      <w:pPr>
        <w:ind w:left="1039" w:hanging="341"/>
      </w:pPr>
      <w:rPr>
        <w:rFonts w:hint="default"/>
        <w:lang w:val="tr-TR" w:eastAsia="tr-TR" w:bidi="tr-TR"/>
      </w:rPr>
    </w:lvl>
    <w:lvl w:ilvl="2" w:tplc="3BD246B2">
      <w:numFmt w:val="bullet"/>
      <w:lvlText w:val="•"/>
      <w:lvlJc w:val="left"/>
      <w:pPr>
        <w:ind w:left="1958" w:hanging="341"/>
      </w:pPr>
      <w:rPr>
        <w:rFonts w:hint="default"/>
        <w:lang w:val="tr-TR" w:eastAsia="tr-TR" w:bidi="tr-TR"/>
      </w:rPr>
    </w:lvl>
    <w:lvl w:ilvl="3" w:tplc="6848317A">
      <w:numFmt w:val="bullet"/>
      <w:lvlText w:val="•"/>
      <w:lvlJc w:val="left"/>
      <w:pPr>
        <w:ind w:left="2877" w:hanging="341"/>
      </w:pPr>
      <w:rPr>
        <w:rFonts w:hint="default"/>
        <w:lang w:val="tr-TR" w:eastAsia="tr-TR" w:bidi="tr-TR"/>
      </w:rPr>
    </w:lvl>
    <w:lvl w:ilvl="4" w:tplc="84F40698">
      <w:numFmt w:val="bullet"/>
      <w:lvlText w:val="•"/>
      <w:lvlJc w:val="left"/>
      <w:pPr>
        <w:ind w:left="3796" w:hanging="341"/>
      </w:pPr>
      <w:rPr>
        <w:rFonts w:hint="default"/>
        <w:lang w:val="tr-TR" w:eastAsia="tr-TR" w:bidi="tr-TR"/>
      </w:rPr>
    </w:lvl>
    <w:lvl w:ilvl="5" w:tplc="38E63EB8">
      <w:numFmt w:val="bullet"/>
      <w:lvlText w:val="•"/>
      <w:lvlJc w:val="left"/>
      <w:pPr>
        <w:ind w:left="4715" w:hanging="341"/>
      </w:pPr>
      <w:rPr>
        <w:rFonts w:hint="default"/>
        <w:lang w:val="tr-TR" w:eastAsia="tr-TR" w:bidi="tr-TR"/>
      </w:rPr>
    </w:lvl>
    <w:lvl w:ilvl="6" w:tplc="8C426B58">
      <w:numFmt w:val="bullet"/>
      <w:lvlText w:val="•"/>
      <w:lvlJc w:val="left"/>
      <w:pPr>
        <w:ind w:left="5634" w:hanging="341"/>
      </w:pPr>
      <w:rPr>
        <w:rFonts w:hint="default"/>
        <w:lang w:val="tr-TR" w:eastAsia="tr-TR" w:bidi="tr-TR"/>
      </w:rPr>
    </w:lvl>
    <w:lvl w:ilvl="7" w:tplc="90E8BAEE">
      <w:numFmt w:val="bullet"/>
      <w:lvlText w:val="•"/>
      <w:lvlJc w:val="left"/>
      <w:pPr>
        <w:ind w:left="6553" w:hanging="341"/>
      </w:pPr>
      <w:rPr>
        <w:rFonts w:hint="default"/>
        <w:lang w:val="tr-TR" w:eastAsia="tr-TR" w:bidi="tr-TR"/>
      </w:rPr>
    </w:lvl>
    <w:lvl w:ilvl="8" w:tplc="D01C5D88">
      <w:numFmt w:val="bullet"/>
      <w:lvlText w:val="•"/>
      <w:lvlJc w:val="left"/>
      <w:pPr>
        <w:ind w:left="7472" w:hanging="341"/>
      </w:pPr>
      <w:rPr>
        <w:rFonts w:hint="default"/>
        <w:lang w:val="tr-TR" w:eastAsia="tr-TR" w:bidi="tr-TR"/>
      </w:rPr>
    </w:lvl>
  </w:abstractNum>
  <w:abstractNum w:abstractNumId="1" w15:restartNumberingAfterBreak="0">
    <w:nsid w:val="2F271C25"/>
    <w:multiLevelType w:val="hybridMultilevel"/>
    <w:tmpl w:val="D0F8324C"/>
    <w:lvl w:ilvl="0" w:tplc="F55A41B2">
      <w:start w:val="2"/>
      <w:numFmt w:val="decimal"/>
      <w:lvlText w:val="(%1)"/>
      <w:lvlJc w:val="left"/>
      <w:pPr>
        <w:ind w:left="116" w:hanging="341"/>
        <w:jc w:val="left"/>
      </w:pPr>
      <w:rPr>
        <w:rFonts w:ascii="Times New Roman" w:eastAsia="Times New Roman" w:hAnsi="Times New Roman" w:cs="Times New Roman" w:hint="default"/>
        <w:b/>
        <w:bCs/>
        <w:w w:val="97"/>
        <w:sz w:val="24"/>
        <w:szCs w:val="24"/>
        <w:lang w:val="tr-TR" w:eastAsia="tr-TR" w:bidi="tr-TR"/>
      </w:rPr>
    </w:lvl>
    <w:lvl w:ilvl="1" w:tplc="D1F66138">
      <w:numFmt w:val="bullet"/>
      <w:lvlText w:val="•"/>
      <w:lvlJc w:val="left"/>
      <w:pPr>
        <w:ind w:left="1039" w:hanging="341"/>
      </w:pPr>
      <w:rPr>
        <w:rFonts w:hint="default"/>
        <w:lang w:val="tr-TR" w:eastAsia="tr-TR" w:bidi="tr-TR"/>
      </w:rPr>
    </w:lvl>
    <w:lvl w:ilvl="2" w:tplc="FD00B228">
      <w:numFmt w:val="bullet"/>
      <w:lvlText w:val="•"/>
      <w:lvlJc w:val="left"/>
      <w:pPr>
        <w:ind w:left="1958" w:hanging="341"/>
      </w:pPr>
      <w:rPr>
        <w:rFonts w:hint="default"/>
        <w:lang w:val="tr-TR" w:eastAsia="tr-TR" w:bidi="tr-TR"/>
      </w:rPr>
    </w:lvl>
    <w:lvl w:ilvl="3" w:tplc="4D82C3FA">
      <w:numFmt w:val="bullet"/>
      <w:lvlText w:val="•"/>
      <w:lvlJc w:val="left"/>
      <w:pPr>
        <w:ind w:left="2877" w:hanging="341"/>
      </w:pPr>
      <w:rPr>
        <w:rFonts w:hint="default"/>
        <w:lang w:val="tr-TR" w:eastAsia="tr-TR" w:bidi="tr-TR"/>
      </w:rPr>
    </w:lvl>
    <w:lvl w:ilvl="4" w:tplc="E0C451DE">
      <w:numFmt w:val="bullet"/>
      <w:lvlText w:val="•"/>
      <w:lvlJc w:val="left"/>
      <w:pPr>
        <w:ind w:left="3796" w:hanging="341"/>
      </w:pPr>
      <w:rPr>
        <w:rFonts w:hint="default"/>
        <w:lang w:val="tr-TR" w:eastAsia="tr-TR" w:bidi="tr-TR"/>
      </w:rPr>
    </w:lvl>
    <w:lvl w:ilvl="5" w:tplc="3878DC80">
      <w:numFmt w:val="bullet"/>
      <w:lvlText w:val="•"/>
      <w:lvlJc w:val="left"/>
      <w:pPr>
        <w:ind w:left="4715" w:hanging="341"/>
      </w:pPr>
      <w:rPr>
        <w:rFonts w:hint="default"/>
        <w:lang w:val="tr-TR" w:eastAsia="tr-TR" w:bidi="tr-TR"/>
      </w:rPr>
    </w:lvl>
    <w:lvl w:ilvl="6" w:tplc="D81C4900">
      <w:numFmt w:val="bullet"/>
      <w:lvlText w:val="•"/>
      <w:lvlJc w:val="left"/>
      <w:pPr>
        <w:ind w:left="5634" w:hanging="341"/>
      </w:pPr>
      <w:rPr>
        <w:rFonts w:hint="default"/>
        <w:lang w:val="tr-TR" w:eastAsia="tr-TR" w:bidi="tr-TR"/>
      </w:rPr>
    </w:lvl>
    <w:lvl w:ilvl="7" w:tplc="EA8A7286">
      <w:numFmt w:val="bullet"/>
      <w:lvlText w:val="•"/>
      <w:lvlJc w:val="left"/>
      <w:pPr>
        <w:ind w:left="6553" w:hanging="341"/>
      </w:pPr>
      <w:rPr>
        <w:rFonts w:hint="default"/>
        <w:lang w:val="tr-TR" w:eastAsia="tr-TR" w:bidi="tr-TR"/>
      </w:rPr>
    </w:lvl>
    <w:lvl w:ilvl="8" w:tplc="FEAE0C2C">
      <w:numFmt w:val="bullet"/>
      <w:lvlText w:val="•"/>
      <w:lvlJc w:val="left"/>
      <w:pPr>
        <w:ind w:left="7472" w:hanging="341"/>
      </w:pPr>
      <w:rPr>
        <w:rFonts w:hint="default"/>
        <w:lang w:val="tr-TR" w:eastAsia="tr-TR" w:bidi="tr-TR"/>
      </w:rPr>
    </w:lvl>
  </w:abstractNum>
  <w:abstractNum w:abstractNumId="2" w15:restartNumberingAfterBreak="0">
    <w:nsid w:val="3F4B50CF"/>
    <w:multiLevelType w:val="hybridMultilevel"/>
    <w:tmpl w:val="CED08A22"/>
    <w:lvl w:ilvl="0" w:tplc="D66213F6">
      <w:start w:val="2"/>
      <w:numFmt w:val="decimal"/>
      <w:lvlText w:val="(%1)"/>
      <w:lvlJc w:val="left"/>
      <w:pPr>
        <w:ind w:left="116" w:hanging="341"/>
        <w:jc w:val="left"/>
      </w:pPr>
      <w:rPr>
        <w:rFonts w:ascii="Times New Roman" w:eastAsia="Times New Roman" w:hAnsi="Times New Roman" w:cs="Times New Roman" w:hint="default"/>
        <w:b/>
        <w:bCs/>
        <w:w w:val="97"/>
        <w:sz w:val="24"/>
        <w:szCs w:val="24"/>
        <w:lang w:val="tr-TR" w:eastAsia="tr-TR" w:bidi="tr-TR"/>
      </w:rPr>
    </w:lvl>
    <w:lvl w:ilvl="1" w:tplc="194842C6">
      <w:start w:val="1"/>
      <w:numFmt w:val="lowerLetter"/>
      <w:lvlText w:val="%2."/>
      <w:lvlJc w:val="left"/>
      <w:pPr>
        <w:ind w:left="1196" w:hanging="360"/>
        <w:jc w:val="left"/>
      </w:pPr>
      <w:rPr>
        <w:rFonts w:hint="default"/>
        <w:spacing w:val="-5"/>
        <w:w w:val="99"/>
        <w:lang w:val="tr-TR" w:eastAsia="tr-TR" w:bidi="tr-TR"/>
      </w:rPr>
    </w:lvl>
    <w:lvl w:ilvl="2" w:tplc="F03CBAF0">
      <w:numFmt w:val="bullet"/>
      <w:lvlText w:val="•"/>
      <w:lvlJc w:val="left"/>
      <w:pPr>
        <w:ind w:left="2101" w:hanging="360"/>
      </w:pPr>
      <w:rPr>
        <w:rFonts w:hint="default"/>
        <w:lang w:val="tr-TR" w:eastAsia="tr-TR" w:bidi="tr-TR"/>
      </w:rPr>
    </w:lvl>
    <w:lvl w:ilvl="3" w:tplc="0A8AD180">
      <w:numFmt w:val="bullet"/>
      <w:lvlText w:val="•"/>
      <w:lvlJc w:val="left"/>
      <w:pPr>
        <w:ind w:left="3002" w:hanging="360"/>
      </w:pPr>
      <w:rPr>
        <w:rFonts w:hint="default"/>
        <w:lang w:val="tr-TR" w:eastAsia="tr-TR" w:bidi="tr-TR"/>
      </w:rPr>
    </w:lvl>
    <w:lvl w:ilvl="4" w:tplc="CEDA3848">
      <w:numFmt w:val="bullet"/>
      <w:lvlText w:val="•"/>
      <w:lvlJc w:val="left"/>
      <w:pPr>
        <w:ind w:left="3903" w:hanging="360"/>
      </w:pPr>
      <w:rPr>
        <w:rFonts w:hint="default"/>
        <w:lang w:val="tr-TR" w:eastAsia="tr-TR" w:bidi="tr-TR"/>
      </w:rPr>
    </w:lvl>
    <w:lvl w:ilvl="5" w:tplc="95F67AD2">
      <w:numFmt w:val="bullet"/>
      <w:lvlText w:val="•"/>
      <w:lvlJc w:val="left"/>
      <w:pPr>
        <w:ind w:left="4804" w:hanging="360"/>
      </w:pPr>
      <w:rPr>
        <w:rFonts w:hint="default"/>
        <w:lang w:val="tr-TR" w:eastAsia="tr-TR" w:bidi="tr-TR"/>
      </w:rPr>
    </w:lvl>
    <w:lvl w:ilvl="6" w:tplc="5640427A">
      <w:numFmt w:val="bullet"/>
      <w:lvlText w:val="•"/>
      <w:lvlJc w:val="left"/>
      <w:pPr>
        <w:ind w:left="5706" w:hanging="360"/>
      </w:pPr>
      <w:rPr>
        <w:rFonts w:hint="default"/>
        <w:lang w:val="tr-TR" w:eastAsia="tr-TR" w:bidi="tr-TR"/>
      </w:rPr>
    </w:lvl>
    <w:lvl w:ilvl="7" w:tplc="99BC269E">
      <w:numFmt w:val="bullet"/>
      <w:lvlText w:val="•"/>
      <w:lvlJc w:val="left"/>
      <w:pPr>
        <w:ind w:left="6607" w:hanging="360"/>
      </w:pPr>
      <w:rPr>
        <w:rFonts w:hint="default"/>
        <w:lang w:val="tr-TR" w:eastAsia="tr-TR" w:bidi="tr-TR"/>
      </w:rPr>
    </w:lvl>
    <w:lvl w:ilvl="8" w:tplc="D0B07C00">
      <w:numFmt w:val="bullet"/>
      <w:lvlText w:val="•"/>
      <w:lvlJc w:val="left"/>
      <w:pPr>
        <w:ind w:left="7508" w:hanging="360"/>
      </w:pPr>
      <w:rPr>
        <w:rFonts w:hint="default"/>
        <w:lang w:val="tr-TR" w:eastAsia="tr-TR" w:bidi="tr-TR"/>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93B"/>
    <w:rsid w:val="0005348D"/>
    <w:rsid w:val="000A493B"/>
    <w:rsid w:val="00F8439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A92E4A"/>
  <w15:docId w15:val="{94D95C69-261B-4177-9557-4B4E6E70F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tr-TR" w:eastAsia="tr-TR" w:bidi="tr-TR"/>
    </w:rPr>
  </w:style>
  <w:style w:type="paragraph" w:styleId="Balk1">
    <w:name w:val="heading 1"/>
    <w:basedOn w:val="Normal"/>
    <w:uiPriority w:val="9"/>
    <w:qFormat/>
    <w:pPr>
      <w:ind w:left="116"/>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116"/>
    </w:pPr>
    <w:rPr>
      <w:sz w:val="24"/>
      <w:szCs w:val="24"/>
    </w:rPr>
  </w:style>
  <w:style w:type="paragraph" w:styleId="ListeParagraf">
    <w:name w:val="List Paragraph"/>
    <w:basedOn w:val="Normal"/>
    <w:uiPriority w:val="1"/>
    <w:qFormat/>
    <w:pPr>
      <w:ind w:left="116"/>
      <w:jc w:val="both"/>
    </w:pPr>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F84396"/>
    <w:pPr>
      <w:tabs>
        <w:tab w:val="center" w:pos="4536"/>
        <w:tab w:val="right" w:pos="9072"/>
      </w:tabs>
    </w:pPr>
  </w:style>
  <w:style w:type="character" w:customStyle="1" w:styleId="stBilgiChar">
    <w:name w:val="Üst Bilgi Char"/>
    <w:basedOn w:val="VarsaylanParagrafYazTipi"/>
    <w:link w:val="stBilgi"/>
    <w:uiPriority w:val="99"/>
    <w:rsid w:val="00F84396"/>
    <w:rPr>
      <w:rFonts w:ascii="Times New Roman" w:eastAsia="Times New Roman" w:hAnsi="Times New Roman" w:cs="Times New Roman"/>
      <w:lang w:val="tr-TR" w:eastAsia="tr-TR" w:bidi="tr-TR"/>
    </w:rPr>
  </w:style>
  <w:style w:type="paragraph" w:styleId="AltBilgi">
    <w:name w:val="footer"/>
    <w:basedOn w:val="Normal"/>
    <w:link w:val="AltBilgiChar"/>
    <w:uiPriority w:val="99"/>
    <w:unhideWhenUsed/>
    <w:rsid w:val="00F84396"/>
    <w:pPr>
      <w:tabs>
        <w:tab w:val="center" w:pos="4536"/>
        <w:tab w:val="right" w:pos="9072"/>
      </w:tabs>
    </w:pPr>
  </w:style>
  <w:style w:type="character" w:customStyle="1" w:styleId="AltBilgiChar">
    <w:name w:val="Alt Bilgi Char"/>
    <w:basedOn w:val="VarsaylanParagrafYazTipi"/>
    <w:link w:val="AltBilgi"/>
    <w:uiPriority w:val="99"/>
    <w:rsid w:val="00F84396"/>
    <w:rPr>
      <w:rFonts w:ascii="Times New Roman" w:eastAsia="Times New Roman" w:hAnsi="Times New Roman" w:cs="Times New Roman"/>
      <w:lang w:val="tr-TR"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730</Words>
  <Characters>4162</Characters>
  <Application>Microsoft Office Word</Application>
  <DocSecurity>0</DocSecurity>
  <Lines>34</Lines>
  <Paragraphs>9</Paragraphs>
  <ScaleCrop>false</ScaleCrop>
  <Company/>
  <LinksUpToDate>false</LinksUpToDate>
  <CharactersWithSpaces>4883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SENOL AKYAZI</dc:creator>
  <cp:lastModifiedBy>PC</cp:lastModifiedBy>
  <cp:revision>2</cp:revision>
  <dcterms:created xsi:type="dcterms:W3CDTF">2022-10-03T08:42:00Z</dcterms:created>
  <dcterms:modified xsi:type="dcterms:W3CDTF">2022-10-03T08:42:00Z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2021-10-07T00:00:00Z</vt:filetime>
  </property>
  <property fmtid="{D5CDD505-2E9C-101B-9397-08002B2CF9AE}" pid="3" name="Creator">
    <vt:lpwstr>Microsoft® Word 2010</vt:lpwstr>
  </property>
  <property fmtid="{D5CDD505-2E9C-101B-9397-08002B2CF9AE}" pid="4" name="LastSaved">
    <vt:filetime>2022-09-30T00:00:00Z</vt:filetime>
  </property>
</Properties>
</file>