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25A44C" w14:textId="77777777" w:rsidR="00190488" w:rsidRPr="00190488" w:rsidRDefault="00932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tr-TR"/>
        </w:rPr>
      </w:pPr>
      <w:r>
        <w:rPr>
          <w:rFonts w:ascii="Times New Roman" w:hAnsi="Times New Roman" w:cs="Times New Roman"/>
          <w:b/>
          <w:noProof/>
          <w:color w:val="000000"/>
          <w:sz w:val="48"/>
          <w:szCs w:val="48"/>
          <w:lang w:val="tr-TR" w:eastAsia="tr-TR"/>
        </w:rPr>
        <w:drawing>
          <wp:inline distT="0" distB="0" distL="0" distR="0" wp14:anchorId="2D21A221" wp14:editId="6E3EDB5D">
            <wp:extent cx="1761490" cy="1704975"/>
            <wp:effectExtent l="0" t="0" r="0" b="9525"/>
            <wp:docPr id="1" name="Resim 1" descr="C:\Users\ogundogdu\Desktop\TNKU_LOGO\TNKU_LOGO\TR\_TNKU_LOGO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ndogdu\Desktop\TNKU_LOGO\TNKU_LOGO\TR\_TNKU_LOGO_T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17" cy="17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36B33" w14:textId="77777777" w:rsidR="00AB01A9" w:rsidRPr="00AB01A9" w:rsidRDefault="00327597" w:rsidP="00327597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AB01A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TEKİRDAĞ NAMIK KEMAL ÜNİVERSİTESİ </w:t>
      </w:r>
    </w:p>
    <w:p w14:paraId="1E9AD218" w14:textId="4E94441D" w:rsidR="00327597" w:rsidRPr="00AB01A9" w:rsidRDefault="00327597" w:rsidP="00327597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B01A9">
        <w:rPr>
          <w:rFonts w:ascii="Times New Roman" w:eastAsia="Times New Roman" w:hAnsi="Times New Roman" w:cs="Times New Roman"/>
          <w:color w:val="000000"/>
          <w:sz w:val="32"/>
          <w:szCs w:val="32"/>
        </w:rPr>
        <w:t>TOPLUMSAL KATKI POLİTİKASI</w:t>
      </w:r>
    </w:p>
    <w:p w14:paraId="65B0DC86" w14:textId="77777777" w:rsidR="00AB01A9" w:rsidRPr="00327597" w:rsidRDefault="00AB01A9" w:rsidP="00327597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47AB49E" w14:textId="77777777" w:rsidR="00327597" w:rsidRDefault="00327597" w:rsidP="003275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Tekirdağ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Namık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Kemal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Üniversitesi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stratejik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hedefler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doğrultusunda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eğitim-öğretim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araştırma-geliştirme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faaliyetlerinin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toplumsal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katkıya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dönüşebilmesi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amacıyla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birimleri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kaynaklarını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kalite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temelli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teşvik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etmektedir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6FD954" w14:textId="77777777" w:rsidR="00327597" w:rsidRDefault="00327597" w:rsidP="003275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Toplumun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ihtiyaçlarını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dikkate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toplumsal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politikasını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temalarını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yıllık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eylem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planlarını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güncellemektedir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Ürettiği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bilgiyi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yararına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dönüştürmeyi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yönetim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anlayışını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benimsemekte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yararı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kalite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temelli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bakış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açısıyla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sunmayı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hedeflemektedir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Üniversitenin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fakültelerinden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uygulama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araştırma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merkezlerine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topluluklarından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oluşumlarına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birimleri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sorumluluğunu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getirme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amacına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yönelik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faaliyetlerini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sürdürmekte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çeşitlendirmektedir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F153BD" w14:textId="77777777" w:rsidR="00327597" w:rsidRDefault="00327597" w:rsidP="003275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266CE7" w14:textId="77777777" w:rsidR="00327597" w:rsidRDefault="00327597" w:rsidP="0032759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TEKİRDAĞ NAMIK KEMAL ÜNİVERSİTESİ TOPLUMSAL KATKI POLİTİKASI</w:t>
      </w:r>
    </w:p>
    <w:p w14:paraId="5D2C9B7B" w14:textId="77777777" w:rsidR="00327597" w:rsidRDefault="00327597" w:rsidP="0032759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 TEMALARI / ÖNCELİKLİ ALANLARI</w:t>
      </w:r>
    </w:p>
    <w:p w14:paraId="1355950E" w14:textId="77777777" w:rsidR="00327597" w:rsidRDefault="00327597" w:rsidP="003275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Üniversite-Kamu-Özel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Sektör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birliğinde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şehrin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bölgenin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Türkiye’nin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kalkınma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hedefleri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doğrultusunda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nitelikli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üretmek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543F401" w14:textId="77777777" w:rsidR="00327597" w:rsidRDefault="00327597" w:rsidP="0032759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F4B3DD" w14:textId="77777777" w:rsidR="00327597" w:rsidRDefault="00327597" w:rsidP="003275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Bölgenin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ekonomik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sosyal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kültürel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yaşamına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katkıda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bulunmak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8A4F589" w14:textId="77777777" w:rsidR="00327597" w:rsidRDefault="00327597" w:rsidP="0032759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6C50DA" w14:textId="77777777" w:rsidR="00327597" w:rsidRDefault="00327597" w:rsidP="003275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Eğitim-öğretim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araştırma-geliştirme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süreçlerini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toplumsal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bütünleştirmek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süreçlerde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ettiği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bilgiyi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toplumun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yararına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sunmak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5668AFE" w14:textId="77777777" w:rsidR="00327597" w:rsidRDefault="00327597" w:rsidP="0032759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EF1D46" w14:textId="77777777" w:rsidR="00327597" w:rsidRDefault="00327597" w:rsidP="003275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Toplumsal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süreçlerinin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yönetimini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sürekliliğini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sağlayan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kurumsal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yapı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oluşturmak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542C898" w14:textId="77777777" w:rsidR="00327597" w:rsidRDefault="00327597" w:rsidP="0032759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6319B" w14:textId="77777777" w:rsidR="00327597" w:rsidRDefault="00327597" w:rsidP="003275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Toplumsal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sorunlara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duyarlılık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kadınlar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çocuklar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yaşlılar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göçmenler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engelliler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dezavantajlı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yönelik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geliştirmek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479DE9A" w14:textId="77777777" w:rsidR="00327597" w:rsidRDefault="00327597" w:rsidP="0032759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5D84E0" w14:textId="77777777" w:rsidR="00327597" w:rsidRDefault="00327597" w:rsidP="003275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Toplumsal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faaliyet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alanlarını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iç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paydaşlarla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birliği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içinde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verimli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ölçülebilir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standartlarda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belirlemek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8BF516D" w14:textId="77777777" w:rsidR="00327597" w:rsidRDefault="00327597" w:rsidP="0032759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3AA72" w14:textId="77777777" w:rsidR="00327597" w:rsidRDefault="00327597" w:rsidP="003275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Toplumsal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faaliyetlerini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olanaklarıyla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gerçekleştirmek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CECE53" w14:textId="77777777" w:rsidR="00327597" w:rsidRDefault="00327597" w:rsidP="0032759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CE2A1B" w14:textId="77777777" w:rsidR="00327597" w:rsidRDefault="00327597" w:rsidP="003275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32337C" w14:textId="77777777" w:rsidR="00327597" w:rsidRDefault="00327597" w:rsidP="003275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TOPLUMSAL KATKI STRATEJİLERİ</w:t>
      </w:r>
    </w:p>
    <w:p w14:paraId="5BEE088B" w14:textId="77777777" w:rsidR="00327597" w:rsidRDefault="00327597" w:rsidP="0032759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Tekirdağ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Namık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Kemal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Üniversitesi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Komisyonu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bünyesinde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Toplumsal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Çalışma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yapılan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toplantılarla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toplumsal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faaliyetlerini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değerlendirmektedir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birliği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faaliyetlerinin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türü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kapsamı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yöntemi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yapılacak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ihtiyaçları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tespit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etmektedir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Toplumsal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faaliyetleri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sırasında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değerlere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havyan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çevre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haklarına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bireyler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farklılıklara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yerel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kültür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değerlere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saygı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göstermektedir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CA96EF" w14:textId="77777777" w:rsidR="00327597" w:rsidRPr="0050042A" w:rsidRDefault="00327597" w:rsidP="0032759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04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TEMEL DEĞERLER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18"/>
        <w:gridCol w:w="3458"/>
        <w:gridCol w:w="3420"/>
      </w:tblGrid>
      <w:tr w:rsidR="00327597" w14:paraId="67FC5FDC" w14:textId="77777777" w:rsidTr="00B5526D">
        <w:tc>
          <w:tcPr>
            <w:tcW w:w="3587" w:type="dxa"/>
            <w:shd w:val="clear" w:color="auto" w:fill="B8CCE4" w:themeFill="accent1" w:themeFillTint="66"/>
          </w:tcPr>
          <w:p w14:paraId="580D31E1" w14:textId="77777777" w:rsidR="00327597" w:rsidRPr="008A4E2A" w:rsidRDefault="00327597" w:rsidP="00B5526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tr-TR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tr-TR"/>
              </w:rPr>
              <w:t>İNSANİ DEĞERLER</w:t>
            </w:r>
          </w:p>
        </w:tc>
        <w:tc>
          <w:tcPr>
            <w:tcW w:w="3587" w:type="dxa"/>
            <w:shd w:val="clear" w:color="auto" w:fill="B8CCE4" w:themeFill="accent1" w:themeFillTint="66"/>
          </w:tcPr>
          <w:p w14:paraId="0D3F6387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ENTELEKTÜEL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DEĞERLER</w:t>
            </w:r>
          </w:p>
        </w:tc>
        <w:tc>
          <w:tcPr>
            <w:tcW w:w="3588" w:type="dxa"/>
            <w:shd w:val="clear" w:color="auto" w:fill="B8CCE4" w:themeFill="accent1" w:themeFillTint="66"/>
          </w:tcPr>
          <w:p w14:paraId="53D9DCE7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ALANA İLİŞKİN DEĞERLER </w:t>
            </w:r>
          </w:p>
        </w:tc>
      </w:tr>
      <w:tr w:rsidR="00327597" w14:paraId="42190EE5" w14:textId="77777777" w:rsidTr="00B5526D">
        <w:tc>
          <w:tcPr>
            <w:tcW w:w="3587" w:type="dxa"/>
          </w:tcPr>
          <w:p w14:paraId="57F661DF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Açık Fikirlilik </w:t>
            </w:r>
          </w:p>
        </w:tc>
        <w:tc>
          <w:tcPr>
            <w:tcW w:w="3587" w:type="dxa"/>
          </w:tcPr>
          <w:p w14:paraId="221597E2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Etik Değerlere Bağlılık  </w:t>
            </w:r>
          </w:p>
        </w:tc>
        <w:tc>
          <w:tcPr>
            <w:tcW w:w="3588" w:type="dxa"/>
          </w:tcPr>
          <w:p w14:paraId="317073D9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Alanına Hâkimiyet </w:t>
            </w:r>
          </w:p>
        </w:tc>
      </w:tr>
      <w:tr w:rsidR="00327597" w14:paraId="018483F3" w14:textId="77777777" w:rsidTr="00B5526D">
        <w:tc>
          <w:tcPr>
            <w:tcW w:w="3587" w:type="dxa"/>
          </w:tcPr>
          <w:p w14:paraId="565D3078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Toplumsal ve Milli Değerlere Bağlılık </w:t>
            </w:r>
          </w:p>
        </w:tc>
        <w:tc>
          <w:tcPr>
            <w:tcW w:w="3587" w:type="dxa"/>
          </w:tcPr>
          <w:p w14:paraId="50195E29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Eleştirel Düşünme ve Eleştiriye Açıklık </w:t>
            </w:r>
          </w:p>
        </w:tc>
        <w:tc>
          <w:tcPr>
            <w:tcW w:w="3588" w:type="dxa"/>
          </w:tcPr>
          <w:p w14:paraId="783E1A51" w14:textId="77777777" w:rsidR="00327597" w:rsidRDefault="00327597" w:rsidP="00B5526D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>Sürekli Kendini Geliştirme Çabasında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Olmak</w:t>
            </w:r>
          </w:p>
        </w:tc>
      </w:tr>
      <w:tr w:rsidR="00327597" w14:paraId="3B23CF79" w14:textId="77777777" w:rsidTr="00B5526D">
        <w:tc>
          <w:tcPr>
            <w:tcW w:w="3587" w:type="dxa"/>
          </w:tcPr>
          <w:p w14:paraId="53C6B1C1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Birlikte Çalışma Bilinci </w:t>
            </w:r>
          </w:p>
        </w:tc>
        <w:tc>
          <w:tcPr>
            <w:tcW w:w="3587" w:type="dxa"/>
          </w:tcPr>
          <w:p w14:paraId="089E26F7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Tarafsızlık  </w:t>
            </w:r>
          </w:p>
        </w:tc>
        <w:tc>
          <w:tcPr>
            <w:tcW w:w="3588" w:type="dxa"/>
          </w:tcPr>
          <w:p w14:paraId="3649753F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Kaynakları Etkin Kullanmak </w:t>
            </w:r>
          </w:p>
        </w:tc>
      </w:tr>
      <w:tr w:rsidR="00327597" w14:paraId="5F2F87FF" w14:textId="77777777" w:rsidTr="00B5526D">
        <w:tc>
          <w:tcPr>
            <w:tcW w:w="3587" w:type="dxa"/>
          </w:tcPr>
          <w:p w14:paraId="67DB29C6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Saygı, Hoşgörü ve Sevgi </w:t>
            </w:r>
          </w:p>
        </w:tc>
        <w:tc>
          <w:tcPr>
            <w:tcW w:w="3587" w:type="dxa"/>
          </w:tcPr>
          <w:p w14:paraId="5DDE8272" w14:textId="77777777" w:rsidR="00327597" w:rsidRDefault="00327597" w:rsidP="00B5526D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>Gelişime Açıklık</w:t>
            </w:r>
          </w:p>
        </w:tc>
        <w:tc>
          <w:tcPr>
            <w:tcW w:w="3588" w:type="dxa"/>
          </w:tcPr>
          <w:p w14:paraId="3C3F305F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Kalite ve Verimlilik </w:t>
            </w:r>
          </w:p>
        </w:tc>
      </w:tr>
      <w:tr w:rsidR="00327597" w14:paraId="6F41B64A" w14:textId="77777777" w:rsidTr="00B5526D">
        <w:tc>
          <w:tcPr>
            <w:tcW w:w="3587" w:type="dxa"/>
          </w:tcPr>
          <w:p w14:paraId="3D813986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Güvenilirlik/ Sorumluluk </w:t>
            </w:r>
          </w:p>
        </w:tc>
        <w:tc>
          <w:tcPr>
            <w:tcW w:w="3587" w:type="dxa"/>
          </w:tcPr>
          <w:p w14:paraId="21889522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Kalite Bilinci  </w:t>
            </w:r>
          </w:p>
        </w:tc>
        <w:tc>
          <w:tcPr>
            <w:tcW w:w="3588" w:type="dxa"/>
          </w:tcPr>
          <w:p w14:paraId="0FCE0FD2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Eğitim Öğretim ve Araştırmada Yeterlilik </w:t>
            </w:r>
          </w:p>
        </w:tc>
      </w:tr>
      <w:tr w:rsidR="00327597" w14:paraId="178FF295" w14:textId="77777777" w:rsidTr="00B5526D">
        <w:tc>
          <w:tcPr>
            <w:tcW w:w="3587" w:type="dxa"/>
          </w:tcPr>
          <w:p w14:paraId="46FB2E44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Çevreye Duyarlılık </w:t>
            </w:r>
          </w:p>
        </w:tc>
        <w:tc>
          <w:tcPr>
            <w:tcW w:w="3587" w:type="dxa"/>
          </w:tcPr>
          <w:p w14:paraId="2D2ACA6F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Liyakate Değer Verme  </w:t>
            </w:r>
          </w:p>
        </w:tc>
        <w:tc>
          <w:tcPr>
            <w:tcW w:w="3588" w:type="dxa"/>
          </w:tcPr>
          <w:p w14:paraId="5DA4D518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Hesap Verebilirlik </w:t>
            </w:r>
          </w:p>
        </w:tc>
      </w:tr>
      <w:tr w:rsidR="00327597" w14:paraId="145ADA5C" w14:textId="77777777" w:rsidTr="00B5526D">
        <w:tc>
          <w:tcPr>
            <w:tcW w:w="3587" w:type="dxa"/>
          </w:tcPr>
          <w:p w14:paraId="0859F115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 xml:space="preserve">Adillik/ Şeffaflık </w:t>
            </w:r>
          </w:p>
        </w:tc>
        <w:tc>
          <w:tcPr>
            <w:tcW w:w="3587" w:type="dxa"/>
          </w:tcPr>
          <w:p w14:paraId="7D8279E2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>Demokratik Değerlere Saygılı</w:t>
            </w:r>
          </w:p>
        </w:tc>
        <w:tc>
          <w:tcPr>
            <w:tcW w:w="3588" w:type="dxa"/>
          </w:tcPr>
          <w:p w14:paraId="118AC957" w14:textId="77777777" w:rsidR="00327597" w:rsidRPr="008A4E2A" w:rsidRDefault="00327597" w:rsidP="00B552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459">
              <w:rPr>
                <w:rFonts w:ascii="Times New Roman" w:hAnsi="Times New Roman" w:cs="Times New Roman"/>
                <w:sz w:val="18"/>
                <w:szCs w:val="18"/>
              </w:rPr>
              <w:t>Yenilikçilik ve Sürdürülebilirlik</w:t>
            </w:r>
          </w:p>
        </w:tc>
      </w:tr>
    </w:tbl>
    <w:p w14:paraId="7C77C765" w14:textId="77777777" w:rsidR="00327597" w:rsidRDefault="00327597" w:rsidP="00327597">
      <w:pPr>
        <w:spacing w:line="360" w:lineRule="auto"/>
        <w:rPr>
          <w:rFonts w:eastAsia="Times New Roman"/>
          <w:b/>
          <w:bCs/>
          <w:color w:val="555555"/>
          <w:sz w:val="21"/>
          <w:szCs w:val="21"/>
        </w:rPr>
      </w:pPr>
    </w:p>
    <w:p w14:paraId="612F2D42" w14:textId="77777777" w:rsidR="00190488" w:rsidRPr="00190488" w:rsidRDefault="001904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b/>
          <w:sz w:val="36"/>
          <w:szCs w:val="36"/>
          <w:lang w:val="tr-TR"/>
        </w:rPr>
      </w:pPr>
    </w:p>
    <w:p w14:paraId="0C40CDBE" w14:textId="39EB658E" w:rsidR="00190488" w:rsidRPr="00E33E91" w:rsidRDefault="00190488" w:rsidP="00E33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right"/>
        <w:rPr>
          <w:rFonts w:ascii="Times New Roman" w:hAnsi="Times New Roman" w:cs="Times New Roman"/>
          <w:color w:val="000000"/>
          <w:lang w:val="tr-TR"/>
        </w:rPr>
      </w:pPr>
      <w:r w:rsidRPr="00E33E91">
        <w:rPr>
          <w:rFonts w:ascii="Times New Roman" w:hAnsi="Times New Roman" w:cs="Times New Roman"/>
          <w:color w:val="000000"/>
          <w:lang w:val="tr-TR"/>
        </w:rPr>
        <w:t xml:space="preserve">          </w:t>
      </w:r>
    </w:p>
    <w:sectPr w:rsidR="00190488" w:rsidRPr="00E33E91" w:rsidSect="00932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80" w:bottom="1440" w:left="1080" w:header="0" w:footer="360" w:gutter="0"/>
      <w:pgBorders w:offsetFrom="page">
        <w:top w:val="thinThickThinMediumGap" w:sz="24" w:space="30" w:color="auto"/>
        <w:left w:val="thinThickThinMediumGap" w:sz="24" w:space="30" w:color="auto"/>
        <w:bottom w:val="thinThickThinMediumGap" w:sz="24" w:space="30" w:color="auto"/>
        <w:right w:val="thinThickThinMediumGap" w:sz="24" w:space="30" w:color="auto"/>
      </w:pgBorders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5A9E9" w14:textId="77777777" w:rsidR="00494D83" w:rsidRDefault="00494D83">
      <w:pPr>
        <w:spacing w:line="240" w:lineRule="auto"/>
      </w:pPr>
      <w:r>
        <w:separator/>
      </w:r>
    </w:p>
  </w:endnote>
  <w:endnote w:type="continuationSeparator" w:id="0">
    <w:p w14:paraId="4D680994" w14:textId="77777777" w:rsidR="00494D83" w:rsidRDefault="00494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1994" w14:textId="77777777" w:rsidR="005619F2" w:rsidRDefault="005619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EC78" w14:textId="30C51FD0" w:rsidR="00190488" w:rsidRPr="00190488" w:rsidRDefault="00190488">
    <w:pPr>
      <w:pStyle w:val="Altbilgi"/>
      <w:rPr>
        <w:rFonts w:ascii="Times New Roman" w:hAnsi="Times New Roman" w:cs="Times New Roman"/>
        <w:sz w:val="20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EC5D" w14:textId="77777777" w:rsidR="005619F2" w:rsidRDefault="005619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18F5C" w14:textId="77777777" w:rsidR="00494D83" w:rsidRDefault="00494D83">
      <w:pPr>
        <w:spacing w:line="240" w:lineRule="auto"/>
      </w:pPr>
      <w:r>
        <w:separator/>
      </w:r>
    </w:p>
  </w:footnote>
  <w:footnote w:type="continuationSeparator" w:id="0">
    <w:p w14:paraId="3B269851" w14:textId="77777777" w:rsidR="00494D83" w:rsidRDefault="00494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82E9" w14:textId="77777777" w:rsidR="005619F2" w:rsidRDefault="005619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C6E1" w14:textId="77777777" w:rsidR="00A02A44" w:rsidRDefault="00A02A44">
    <w:pPr>
      <w:pBdr>
        <w:top w:val="nil"/>
        <w:left w:val="nil"/>
        <w:bottom w:val="nil"/>
        <w:right w:val="nil"/>
        <w:between w:val="nil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631C7" w14:textId="77777777" w:rsidR="005619F2" w:rsidRDefault="005619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1878"/>
    <w:multiLevelType w:val="multilevel"/>
    <w:tmpl w:val="AE2A0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44"/>
    <w:rsid w:val="000D02C6"/>
    <w:rsid w:val="00190488"/>
    <w:rsid w:val="001C1B37"/>
    <w:rsid w:val="00223263"/>
    <w:rsid w:val="00327597"/>
    <w:rsid w:val="00494D83"/>
    <w:rsid w:val="005619F2"/>
    <w:rsid w:val="00650E6C"/>
    <w:rsid w:val="007B4B54"/>
    <w:rsid w:val="007C6326"/>
    <w:rsid w:val="008D44DF"/>
    <w:rsid w:val="008E532B"/>
    <w:rsid w:val="00916471"/>
    <w:rsid w:val="0093288F"/>
    <w:rsid w:val="00951C00"/>
    <w:rsid w:val="00A02A44"/>
    <w:rsid w:val="00A35857"/>
    <w:rsid w:val="00AB01A9"/>
    <w:rsid w:val="00B22EDA"/>
    <w:rsid w:val="00B35C63"/>
    <w:rsid w:val="00B90311"/>
    <w:rsid w:val="00BB2F64"/>
    <w:rsid w:val="00CC7F0C"/>
    <w:rsid w:val="00E33E91"/>
    <w:rsid w:val="00F3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D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/>
    <w:unhideWhenUsed/>
    <w:rsid w:val="0093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8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27597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/>
    <w:unhideWhenUsed/>
    <w:rsid w:val="0093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8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27597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Lenovo</cp:lastModifiedBy>
  <cp:revision>6</cp:revision>
  <dcterms:created xsi:type="dcterms:W3CDTF">2022-10-23T08:31:00Z</dcterms:created>
  <dcterms:modified xsi:type="dcterms:W3CDTF">2022-11-01T11:23:00Z</dcterms:modified>
</cp:coreProperties>
</file>