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54BD" w14:textId="6D7AB80A" w:rsidR="008E2A06" w:rsidRDefault="000136A3">
      <w:pPr>
        <w:pStyle w:val="GvdeMetni"/>
        <w:spacing w:before="6"/>
        <w:ind w:left="0"/>
        <w:rPr>
          <w:sz w:val="12"/>
        </w:rPr>
      </w:pPr>
      <w:r>
        <w:rPr>
          <w:sz w:val="12"/>
        </w:rPr>
        <w:t xml:space="preserve"> </w:t>
      </w:r>
    </w:p>
    <w:tbl>
      <w:tblPr>
        <w:tblStyle w:val="TableNormal"/>
        <w:tblpPr w:leftFromText="141" w:rightFromText="141" w:vertAnchor="text" w:tblpY="1"/>
        <w:tblOverlap w:val="never"/>
        <w:tblW w:w="97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022"/>
        <w:gridCol w:w="1868"/>
        <w:gridCol w:w="1959"/>
      </w:tblGrid>
      <w:tr w:rsidR="000136A3" w:rsidRPr="004C4A7F" w14:paraId="4BDD9962" w14:textId="77777777" w:rsidTr="000136A3">
        <w:trPr>
          <w:trHeight w:val="268"/>
        </w:trPr>
        <w:tc>
          <w:tcPr>
            <w:tcW w:w="1937" w:type="dxa"/>
            <w:vMerge w:val="restart"/>
            <w:tcBorders>
              <w:top w:val="single" w:sz="4" w:space="0" w:color="auto"/>
              <w:left w:val="single" w:sz="4" w:space="0" w:color="auto"/>
              <w:right w:val="single" w:sz="6" w:space="0" w:color="000000"/>
            </w:tcBorders>
          </w:tcPr>
          <w:p w14:paraId="683CE276" w14:textId="15EBFAD4" w:rsidR="000136A3" w:rsidRPr="004C4A7F" w:rsidRDefault="000136A3"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752" behindDoc="1" locked="0" layoutInCell="1" allowOverlap="1" wp14:anchorId="4F3DFA8B" wp14:editId="23292093">
                  <wp:simplePos x="0" y="0"/>
                  <wp:positionH relativeFrom="column">
                    <wp:posOffset>50800</wp:posOffset>
                  </wp:positionH>
                  <wp:positionV relativeFrom="paragraph">
                    <wp:posOffset>60325</wp:posOffset>
                  </wp:positionV>
                  <wp:extent cx="1057275" cy="933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933450"/>
                          </a:xfrm>
                          <a:prstGeom prst="rect">
                            <a:avLst/>
                          </a:prstGeom>
                        </pic:spPr>
                      </pic:pic>
                    </a:graphicData>
                  </a:graphic>
                  <wp14:sizeRelH relativeFrom="margin">
                    <wp14:pctWidth>0</wp14:pctWidth>
                  </wp14:sizeRelH>
                </wp:anchor>
              </w:drawing>
            </w:r>
          </w:p>
          <w:p w14:paraId="02C8B584" w14:textId="2BD7EEAC" w:rsidR="000136A3" w:rsidRPr="004C4A7F" w:rsidRDefault="000136A3" w:rsidP="0043313E">
            <w:pPr>
              <w:ind w:left="323"/>
              <w:rPr>
                <w:rFonts w:eastAsia="Calibri" w:hAnsi="Calibri" w:cs="Calibri"/>
                <w:sz w:val="20"/>
              </w:rPr>
            </w:pPr>
          </w:p>
        </w:tc>
        <w:tc>
          <w:tcPr>
            <w:tcW w:w="4022" w:type="dxa"/>
            <w:vMerge w:val="restart"/>
            <w:tcBorders>
              <w:top w:val="single" w:sz="4" w:space="0" w:color="auto"/>
              <w:left w:val="single" w:sz="6" w:space="0" w:color="000000"/>
              <w:right w:val="single" w:sz="6" w:space="0" w:color="000000"/>
            </w:tcBorders>
            <w:vAlign w:val="center"/>
          </w:tcPr>
          <w:p w14:paraId="68E84AF6" w14:textId="4D2B4C51" w:rsidR="000136A3" w:rsidRPr="004C4A7F" w:rsidRDefault="000136A3" w:rsidP="000136A3">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TIP FAKÜLTESİ GİRİŞİMSEL OLMAYAN KLİNİK ARAŞTIRMALAR ETİK KURULU YÖNERGESİ</w:t>
            </w:r>
          </w:p>
        </w:tc>
        <w:tc>
          <w:tcPr>
            <w:tcW w:w="1868" w:type="dxa"/>
            <w:tcBorders>
              <w:top w:val="single" w:sz="4" w:space="0" w:color="auto"/>
              <w:left w:val="single" w:sz="6" w:space="0" w:color="000000"/>
              <w:bottom w:val="single" w:sz="6" w:space="0" w:color="000000"/>
              <w:right w:val="single" w:sz="6" w:space="0" w:color="000000"/>
            </w:tcBorders>
            <w:vAlign w:val="center"/>
          </w:tcPr>
          <w:p w14:paraId="3290C08C" w14:textId="77777777" w:rsidR="000136A3" w:rsidRPr="000136A3" w:rsidRDefault="000136A3" w:rsidP="000136A3">
            <w:pPr>
              <w:spacing w:before="1" w:line="174" w:lineRule="exact"/>
              <w:ind w:left="34"/>
              <w:rPr>
                <w:rFonts w:eastAsia="Calibri"/>
                <w:sz w:val="20"/>
                <w:szCs w:val="20"/>
              </w:rPr>
            </w:pPr>
            <w:r w:rsidRPr="000136A3">
              <w:rPr>
                <w:rFonts w:eastAsia="Calibri"/>
                <w:w w:val="105"/>
                <w:sz w:val="20"/>
                <w:szCs w:val="20"/>
              </w:rPr>
              <w:t>Doküman No:</w:t>
            </w:r>
          </w:p>
        </w:tc>
        <w:tc>
          <w:tcPr>
            <w:tcW w:w="1959" w:type="dxa"/>
            <w:tcBorders>
              <w:top w:val="single" w:sz="4" w:space="0" w:color="auto"/>
              <w:left w:val="single" w:sz="6" w:space="0" w:color="000000"/>
              <w:bottom w:val="single" w:sz="6" w:space="0" w:color="000000"/>
              <w:right w:val="single" w:sz="4" w:space="0" w:color="auto"/>
            </w:tcBorders>
            <w:vAlign w:val="center"/>
          </w:tcPr>
          <w:p w14:paraId="76378B08" w14:textId="2C58A471" w:rsidR="000136A3" w:rsidRPr="000136A3" w:rsidRDefault="000136A3" w:rsidP="000136A3">
            <w:pPr>
              <w:spacing w:line="176" w:lineRule="exact"/>
              <w:ind w:right="446"/>
              <w:rPr>
                <w:rFonts w:eastAsia="Calibri"/>
                <w:sz w:val="20"/>
                <w:szCs w:val="20"/>
              </w:rPr>
            </w:pPr>
            <w:r>
              <w:rPr>
                <w:rFonts w:eastAsia="Calibri"/>
                <w:sz w:val="20"/>
                <w:szCs w:val="20"/>
              </w:rPr>
              <w:t xml:space="preserve"> </w:t>
            </w:r>
            <w:r w:rsidRPr="000136A3">
              <w:rPr>
                <w:rFonts w:eastAsia="Calibri"/>
                <w:sz w:val="20"/>
                <w:szCs w:val="20"/>
              </w:rPr>
              <w:t>EYS-YNG-060</w:t>
            </w:r>
          </w:p>
        </w:tc>
      </w:tr>
      <w:tr w:rsidR="000136A3" w:rsidRPr="004C4A7F" w14:paraId="463D012C" w14:textId="77777777" w:rsidTr="000136A3">
        <w:trPr>
          <w:trHeight w:val="252"/>
        </w:trPr>
        <w:tc>
          <w:tcPr>
            <w:tcW w:w="1937" w:type="dxa"/>
            <w:vMerge/>
            <w:tcBorders>
              <w:top w:val="nil"/>
              <w:left w:val="single" w:sz="4" w:space="0" w:color="auto"/>
              <w:right w:val="single" w:sz="6" w:space="0" w:color="000000"/>
            </w:tcBorders>
          </w:tcPr>
          <w:p w14:paraId="0F521899" w14:textId="77777777" w:rsidR="000136A3" w:rsidRPr="004C4A7F" w:rsidRDefault="000136A3"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5B8670CF" w14:textId="77777777" w:rsidR="000136A3" w:rsidRPr="004C4A7F" w:rsidRDefault="000136A3"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4FA29D20" w14:textId="77777777" w:rsidR="000136A3" w:rsidRPr="000136A3" w:rsidRDefault="000136A3" w:rsidP="000136A3">
            <w:pPr>
              <w:spacing w:line="176" w:lineRule="exact"/>
              <w:ind w:left="34"/>
              <w:rPr>
                <w:rFonts w:eastAsia="Calibri"/>
                <w:sz w:val="20"/>
                <w:szCs w:val="20"/>
              </w:rPr>
            </w:pPr>
            <w:r w:rsidRPr="000136A3">
              <w:rPr>
                <w:rFonts w:eastAsia="Calibri"/>
                <w:w w:val="105"/>
                <w:sz w:val="20"/>
                <w:szCs w:val="20"/>
              </w:rPr>
              <w:t>Hazırlama Tarihi:</w:t>
            </w:r>
          </w:p>
        </w:tc>
        <w:tc>
          <w:tcPr>
            <w:tcW w:w="1959" w:type="dxa"/>
            <w:tcBorders>
              <w:top w:val="single" w:sz="6" w:space="0" w:color="000000"/>
              <w:left w:val="single" w:sz="6" w:space="0" w:color="000000"/>
              <w:bottom w:val="single" w:sz="6" w:space="0" w:color="000000"/>
              <w:right w:val="single" w:sz="4" w:space="0" w:color="auto"/>
            </w:tcBorders>
            <w:vAlign w:val="center"/>
          </w:tcPr>
          <w:p w14:paraId="2C72ABFE" w14:textId="5FA957F1" w:rsidR="000136A3" w:rsidRPr="000136A3" w:rsidRDefault="000136A3" w:rsidP="000136A3">
            <w:pPr>
              <w:spacing w:line="176" w:lineRule="exact"/>
              <w:ind w:right="446"/>
              <w:rPr>
                <w:rFonts w:eastAsia="Calibri"/>
                <w:sz w:val="20"/>
                <w:szCs w:val="20"/>
              </w:rPr>
            </w:pPr>
            <w:r>
              <w:rPr>
                <w:rFonts w:eastAsia="Calibri"/>
                <w:sz w:val="20"/>
                <w:szCs w:val="20"/>
              </w:rPr>
              <w:t xml:space="preserve"> </w:t>
            </w:r>
            <w:r w:rsidRPr="000136A3">
              <w:rPr>
                <w:rFonts w:eastAsia="Calibri"/>
                <w:sz w:val="20"/>
                <w:szCs w:val="20"/>
              </w:rPr>
              <w:t>01.11.2021</w:t>
            </w:r>
          </w:p>
        </w:tc>
      </w:tr>
      <w:tr w:rsidR="000136A3" w:rsidRPr="004C4A7F" w14:paraId="4AECFCC5" w14:textId="77777777" w:rsidTr="000136A3">
        <w:trPr>
          <w:trHeight w:val="270"/>
        </w:trPr>
        <w:tc>
          <w:tcPr>
            <w:tcW w:w="1937" w:type="dxa"/>
            <w:vMerge/>
            <w:tcBorders>
              <w:top w:val="nil"/>
              <w:left w:val="single" w:sz="4" w:space="0" w:color="auto"/>
              <w:right w:val="single" w:sz="6" w:space="0" w:color="000000"/>
            </w:tcBorders>
          </w:tcPr>
          <w:p w14:paraId="2D62BCEB" w14:textId="77777777" w:rsidR="000136A3" w:rsidRPr="004C4A7F" w:rsidRDefault="000136A3"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3FF6453C" w14:textId="77777777" w:rsidR="000136A3" w:rsidRPr="004C4A7F" w:rsidRDefault="000136A3"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65CADBAC" w14:textId="77777777" w:rsidR="000136A3" w:rsidRPr="000136A3" w:rsidRDefault="000136A3" w:rsidP="000136A3">
            <w:pPr>
              <w:spacing w:line="176" w:lineRule="exact"/>
              <w:ind w:left="34"/>
              <w:rPr>
                <w:rFonts w:eastAsia="Calibri"/>
                <w:sz w:val="20"/>
                <w:szCs w:val="20"/>
              </w:rPr>
            </w:pPr>
            <w:r w:rsidRPr="000136A3">
              <w:rPr>
                <w:rFonts w:eastAsia="Calibri"/>
                <w:w w:val="105"/>
                <w:sz w:val="20"/>
                <w:szCs w:val="20"/>
              </w:rPr>
              <w:t>Revizyon Tarihi:</w:t>
            </w:r>
          </w:p>
        </w:tc>
        <w:tc>
          <w:tcPr>
            <w:tcW w:w="1959" w:type="dxa"/>
            <w:tcBorders>
              <w:top w:val="single" w:sz="6" w:space="0" w:color="000000"/>
              <w:left w:val="single" w:sz="6" w:space="0" w:color="000000"/>
              <w:bottom w:val="single" w:sz="6" w:space="0" w:color="000000"/>
              <w:right w:val="single" w:sz="4" w:space="0" w:color="auto"/>
            </w:tcBorders>
            <w:vAlign w:val="center"/>
          </w:tcPr>
          <w:p w14:paraId="325A3D43" w14:textId="7E9FB108" w:rsidR="000136A3" w:rsidRPr="000136A3" w:rsidRDefault="000136A3" w:rsidP="000136A3">
            <w:pPr>
              <w:spacing w:line="176" w:lineRule="exact"/>
              <w:ind w:right="444"/>
              <w:rPr>
                <w:rFonts w:eastAsia="Calibri"/>
                <w:sz w:val="20"/>
                <w:szCs w:val="20"/>
              </w:rPr>
            </w:pPr>
            <w:r>
              <w:rPr>
                <w:rFonts w:eastAsia="Calibri"/>
                <w:sz w:val="20"/>
                <w:szCs w:val="20"/>
              </w:rPr>
              <w:t xml:space="preserve"> </w:t>
            </w:r>
            <w:r w:rsidRPr="000136A3">
              <w:rPr>
                <w:rFonts w:eastAsia="Calibri"/>
                <w:sz w:val="20"/>
                <w:szCs w:val="20"/>
              </w:rPr>
              <w:t>--</w:t>
            </w:r>
          </w:p>
        </w:tc>
      </w:tr>
      <w:tr w:rsidR="000136A3" w:rsidRPr="004C4A7F" w14:paraId="0600F03B" w14:textId="77777777" w:rsidTr="000136A3">
        <w:trPr>
          <w:trHeight w:val="246"/>
        </w:trPr>
        <w:tc>
          <w:tcPr>
            <w:tcW w:w="1937" w:type="dxa"/>
            <w:vMerge/>
            <w:tcBorders>
              <w:top w:val="nil"/>
              <w:left w:val="single" w:sz="4" w:space="0" w:color="auto"/>
              <w:right w:val="single" w:sz="6" w:space="0" w:color="000000"/>
            </w:tcBorders>
          </w:tcPr>
          <w:p w14:paraId="00A9EBB6" w14:textId="77777777" w:rsidR="000136A3" w:rsidRPr="004C4A7F" w:rsidRDefault="000136A3" w:rsidP="0043313E">
            <w:pPr>
              <w:rPr>
                <w:rFonts w:ascii="Calibri" w:eastAsia="Calibri" w:hAnsi="Calibri" w:cs="Calibri"/>
                <w:sz w:val="2"/>
                <w:szCs w:val="2"/>
              </w:rPr>
            </w:pPr>
          </w:p>
        </w:tc>
        <w:tc>
          <w:tcPr>
            <w:tcW w:w="4022" w:type="dxa"/>
            <w:vMerge/>
            <w:tcBorders>
              <w:top w:val="nil"/>
              <w:left w:val="single" w:sz="6" w:space="0" w:color="000000"/>
              <w:right w:val="single" w:sz="6" w:space="0" w:color="000000"/>
            </w:tcBorders>
          </w:tcPr>
          <w:p w14:paraId="11C445F0" w14:textId="77777777" w:rsidR="000136A3" w:rsidRPr="004C4A7F" w:rsidRDefault="000136A3"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31BBD118" w14:textId="77777777" w:rsidR="000136A3" w:rsidRPr="000136A3" w:rsidRDefault="000136A3" w:rsidP="000136A3">
            <w:pPr>
              <w:spacing w:line="176" w:lineRule="exact"/>
              <w:ind w:left="34"/>
              <w:rPr>
                <w:rFonts w:eastAsia="Calibri"/>
                <w:sz w:val="20"/>
                <w:szCs w:val="20"/>
              </w:rPr>
            </w:pPr>
            <w:r w:rsidRPr="000136A3">
              <w:rPr>
                <w:rFonts w:eastAsia="Calibri"/>
                <w:w w:val="105"/>
                <w:sz w:val="20"/>
                <w:szCs w:val="20"/>
              </w:rPr>
              <w:t>Revizyon No:</w:t>
            </w:r>
          </w:p>
        </w:tc>
        <w:tc>
          <w:tcPr>
            <w:tcW w:w="1959" w:type="dxa"/>
            <w:tcBorders>
              <w:top w:val="single" w:sz="6" w:space="0" w:color="000000"/>
              <w:left w:val="single" w:sz="6" w:space="0" w:color="000000"/>
              <w:bottom w:val="single" w:sz="6" w:space="0" w:color="000000"/>
              <w:right w:val="single" w:sz="4" w:space="0" w:color="auto"/>
            </w:tcBorders>
            <w:vAlign w:val="center"/>
          </w:tcPr>
          <w:p w14:paraId="0D5160F3" w14:textId="4F57831B" w:rsidR="000136A3" w:rsidRPr="000136A3" w:rsidRDefault="000136A3" w:rsidP="000136A3">
            <w:pPr>
              <w:spacing w:line="176" w:lineRule="exact"/>
              <w:ind w:right="444"/>
              <w:rPr>
                <w:rFonts w:eastAsia="Calibri"/>
                <w:sz w:val="20"/>
                <w:szCs w:val="20"/>
              </w:rPr>
            </w:pPr>
            <w:r>
              <w:rPr>
                <w:rFonts w:eastAsia="Calibri"/>
                <w:sz w:val="20"/>
                <w:szCs w:val="20"/>
              </w:rPr>
              <w:t xml:space="preserve"> </w:t>
            </w:r>
            <w:r w:rsidRPr="000136A3">
              <w:rPr>
                <w:rFonts w:eastAsia="Calibri"/>
                <w:sz w:val="20"/>
                <w:szCs w:val="20"/>
              </w:rPr>
              <w:t>0</w:t>
            </w:r>
          </w:p>
        </w:tc>
      </w:tr>
      <w:tr w:rsidR="000136A3" w:rsidRPr="004C4A7F" w14:paraId="4D3A438B" w14:textId="77777777" w:rsidTr="000136A3">
        <w:trPr>
          <w:trHeight w:val="464"/>
        </w:trPr>
        <w:tc>
          <w:tcPr>
            <w:tcW w:w="1937" w:type="dxa"/>
            <w:vMerge/>
            <w:tcBorders>
              <w:top w:val="nil"/>
              <w:left w:val="single" w:sz="4" w:space="0" w:color="auto"/>
              <w:bottom w:val="single" w:sz="4" w:space="0" w:color="auto"/>
              <w:right w:val="single" w:sz="6" w:space="0" w:color="000000"/>
            </w:tcBorders>
          </w:tcPr>
          <w:p w14:paraId="6D0CCE20" w14:textId="77777777" w:rsidR="000136A3" w:rsidRPr="004C4A7F" w:rsidRDefault="000136A3" w:rsidP="0043313E">
            <w:pPr>
              <w:rPr>
                <w:rFonts w:ascii="Calibri" w:eastAsia="Calibri" w:hAnsi="Calibri" w:cs="Calibri"/>
                <w:sz w:val="2"/>
                <w:szCs w:val="2"/>
              </w:rPr>
            </w:pPr>
          </w:p>
        </w:tc>
        <w:tc>
          <w:tcPr>
            <w:tcW w:w="4022" w:type="dxa"/>
            <w:vMerge/>
            <w:tcBorders>
              <w:top w:val="nil"/>
              <w:left w:val="single" w:sz="6" w:space="0" w:color="000000"/>
              <w:bottom w:val="single" w:sz="4" w:space="0" w:color="auto"/>
              <w:right w:val="single" w:sz="6" w:space="0" w:color="000000"/>
            </w:tcBorders>
          </w:tcPr>
          <w:p w14:paraId="1F4C9D26" w14:textId="77777777" w:rsidR="000136A3" w:rsidRPr="004C4A7F" w:rsidRDefault="000136A3" w:rsidP="0043313E">
            <w:pPr>
              <w:rPr>
                <w:rFonts w:ascii="Calibri" w:eastAsia="Calibri" w:hAnsi="Calibri" w:cs="Calibri"/>
                <w:sz w:val="2"/>
                <w:szCs w:val="2"/>
              </w:rPr>
            </w:pPr>
          </w:p>
        </w:tc>
        <w:tc>
          <w:tcPr>
            <w:tcW w:w="1868" w:type="dxa"/>
            <w:tcBorders>
              <w:top w:val="single" w:sz="6" w:space="0" w:color="000000"/>
              <w:left w:val="single" w:sz="6" w:space="0" w:color="000000"/>
              <w:bottom w:val="single" w:sz="4" w:space="0" w:color="auto"/>
              <w:right w:val="single" w:sz="6" w:space="0" w:color="000000"/>
            </w:tcBorders>
            <w:vAlign w:val="center"/>
          </w:tcPr>
          <w:p w14:paraId="717895F7" w14:textId="5942E043" w:rsidR="000136A3" w:rsidRPr="000136A3" w:rsidRDefault="000136A3" w:rsidP="000136A3">
            <w:pPr>
              <w:spacing w:before="22"/>
              <w:ind w:left="34"/>
              <w:rPr>
                <w:rFonts w:eastAsia="Calibri"/>
                <w:sz w:val="20"/>
                <w:szCs w:val="20"/>
              </w:rPr>
            </w:pPr>
            <w:r w:rsidRPr="000136A3">
              <w:rPr>
                <w:rFonts w:eastAsia="Calibri"/>
                <w:w w:val="105"/>
                <w:sz w:val="20"/>
                <w:szCs w:val="20"/>
              </w:rPr>
              <w:t>Toplam Sayfa</w:t>
            </w:r>
            <w:r>
              <w:rPr>
                <w:rFonts w:eastAsia="Calibri"/>
                <w:sz w:val="20"/>
                <w:szCs w:val="20"/>
              </w:rPr>
              <w:t xml:space="preserve"> </w:t>
            </w:r>
            <w:r w:rsidRPr="000136A3">
              <w:rPr>
                <w:rFonts w:eastAsia="Calibri"/>
                <w:w w:val="105"/>
                <w:sz w:val="20"/>
                <w:szCs w:val="20"/>
              </w:rPr>
              <w:t>Sayısı</w:t>
            </w:r>
            <w:r>
              <w:rPr>
                <w:rFonts w:eastAsia="Calibri"/>
                <w:w w:val="105"/>
                <w:sz w:val="20"/>
                <w:szCs w:val="20"/>
              </w:rPr>
              <w:t>:</w:t>
            </w:r>
          </w:p>
        </w:tc>
        <w:tc>
          <w:tcPr>
            <w:tcW w:w="1959" w:type="dxa"/>
            <w:tcBorders>
              <w:top w:val="single" w:sz="6" w:space="0" w:color="000000"/>
              <w:left w:val="single" w:sz="6" w:space="0" w:color="000000"/>
              <w:bottom w:val="single" w:sz="4" w:space="0" w:color="auto"/>
              <w:right w:val="single" w:sz="4" w:space="0" w:color="auto"/>
            </w:tcBorders>
            <w:vAlign w:val="center"/>
          </w:tcPr>
          <w:p w14:paraId="3A1E0EE8" w14:textId="6B4D7EBE" w:rsidR="000136A3" w:rsidRPr="000136A3" w:rsidRDefault="000136A3" w:rsidP="000136A3">
            <w:pPr>
              <w:spacing w:before="11"/>
              <w:rPr>
                <w:rFonts w:eastAsia="Calibri"/>
                <w:sz w:val="20"/>
                <w:szCs w:val="20"/>
              </w:rPr>
            </w:pPr>
            <w:r>
              <w:rPr>
                <w:rFonts w:eastAsia="Calibri"/>
                <w:sz w:val="20"/>
                <w:szCs w:val="20"/>
              </w:rPr>
              <w:t xml:space="preserve"> </w:t>
            </w:r>
            <w:r w:rsidRPr="000136A3">
              <w:rPr>
                <w:rFonts w:eastAsia="Calibri"/>
                <w:sz w:val="20"/>
                <w:szCs w:val="20"/>
              </w:rPr>
              <w:t>5</w:t>
            </w:r>
          </w:p>
          <w:p w14:paraId="2E2E9C98" w14:textId="77777777" w:rsidR="000136A3" w:rsidRPr="000136A3" w:rsidRDefault="000136A3" w:rsidP="000136A3">
            <w:pPr>
              <w:spacing w:line="192" w:lineRule="exact"/>
              <w:ind w:left="501" w:right="444"/>
              <w:rPr>
                <w:rFonts w:eastAsia="Calibri"/>
                <w:sz w:val="20"/>
                <w:szCs w:val="20"/>
              </w:rPr>
            </w:pPr>
          </w:p>
        </w:tc>
      </w:tr>
    </w:tbl>
    <w:p w14:paraId="5D67594E" w14:textId="2B754B18" w:rsidR="008E2A06" w:rsidRDefault="000136A3" w:rsidP="000136A3">
      <w:pPr>
        <w:ind w:right="321"/>
        <w:rPr>
          <w:b/>
          <w:sz w:val="23"/>
        </w:rPr>
      </w:pPr>
      <w:r>
        <w:rPr>
          <w:b/>
          <w:sz w:val="23"/>
        </w:rPr>
        <w:t xml:space="preserve">                                                               </w:t>
      </w:r>
      <w:r>
        <w:rPr>
          <w:b/>
          <w:sz w:val="23"/>
        </w:rPr>
        <w:t>BİRİNCİ BÖLÜM</w:t>
      </w:r>
    </w:p>
    <w:p w14:paraId="60D9DEB9" w14:textId="77777777" w:rsidR="008E2A06" w:rsidRDefault="000136A3" w:rsidP="000136A3">
      <w:pPr>
        <w:spacing w:before="1"/>
        <w:ind w:left="318" w:right="318"/>
        <w:jc w:val="center"/>
        <w:rPr>
          <w:b/>
          <w:sz w:val="23"/>
        </w:rPr>
      </w:pPr>
      <w:r>
        <w:rPr>
          <w:b/>
          <w:sz w:val="23"/>
        </w:rPr>
        <w:t>Amaç, Kapsam, Dayanak ve Tanımlar</w:t>
      </w:r>
    </w:p>
    <w:p w14:paraId="214253CC" w14:textId="77777777" w:rsidR="008E2A06" w:rsidRDefault="008E2A06">
      <w:pPr>
        <w:pStyle w:val="GvdeMetni"/>
        <w:spacing w:before="11"/>
        <w:ind w:left="0"/>
        <w:rPr>
          <w:b/>
          <w:sz w:val="22"/>
        </w:rPr>
      </w:pPr>
    </w:p>
    <w:p w14:paraId="089584DE" w14:textId="77777777" w:rsidR="008E2A06" w:rsidRDefault="000136A3" w:rsidP="000136A3">
      <w:pPr>
        <w:spacing w:line="262" w:lineRule="exact"/>
        <w:ind w:left="116"/>
        <w:rPr>
          <w:b/>
          <w:sz w:val="23"/>
        </w:rPr>
      </w:pPr>
      <w:r>
        <w:rPr>
          <w:b/>
          <w:sz w:val="23"/>
        </w:rPr>
        <w:t>Amaç</w:t>
      </w:r>
    </w:p>
    <w:p w14:paraId="6B16DE43" w14:textId="4A08D547" w:rsidR="008E2A06" w:rsidRDefault="000136A3" w:rsidP="000136A3">
      <w:pPr>
        <w:pStyle w:val="GvdeMetni"/>
        <w:jc w:val="both"/>
      </w:pPr>
      <w:r>
        <w:rPr>
          <w:b/>
        </w:rPr>
        <w:t xml:space="preserve">MADDE 1- (1) </w:t>
      </w:r>
      <w:r>
        <w:t xml:space="preserve">Bu Yönergenin amacı; Tekirdağ </w:t>
      </w:r>
      <w:r>
        <w:t>Namık Kemal Üniversitesi akademik çalışanları tarafından gönüllüler üzerinde gerçekleştirilecek olan girişimsel olmayan klinik araştırmaların bilimsel verilere dayanıp dayanmadığı, tasarımı, yürütülmesi, kayıtlarının tutulması, rapor e</w:t>
      </w:r>
      <w:r>
        <w:t>dilmesi, geçerliliği, gönüllülerin korunması konusunda bilimsel ve etik standartların sağlanmasına dair usul ve esasları</w:t>
      </w:r>
      <w:r>
        <w:rPr>
          <w:spacing w:val="-3"/>
        </w:rPr>
        <w:t xml:space="preserve"> </w:t>
      </w:r>
      <w:r>
        <w:t>düzenlemektir.</w:t>
      </w:r>
    </w:p>
    <w:p w14:paraId="67599138" w14:textId="77777777" w:rsidR="008E2A06" w:rsidRDefault="000136A3" w:rsidP="000136A3">
      <w:pPr>
        <w:pStyle w:val="Balk1"/>
        <w:spacing w:before="2" w:line="263" w:lineRule="exact"/>
        <w:jc w:val="left"/>
      </w:pPr>
      <w:r>
        <w:t>Kapsam</w:t>
      </w:r>
    </w:p>
    <w:p w14:paraId="72250C4C" w14:textId="77777777" w:rsidR="008E2A06" w:rsidRDefault="000136A3" w:rsidP="000136A3">
      <w:pPr>
        <w:pStyle w:val="GvdeMetni"/>
        <w:jc w:val="both"/>
      </w:pPr>
      <w:r>
        <w:rPr>
          <w:b/>
        </w:rPr>
        <w:t xml:space="preserve">MADDE </w:t>
      </w:r>
      <w:r>
        <w:t xml:space="preserve">2- (1) Gözlemsel ilaç çalışmaları ve gözlemsel tıbbi cihaz çalışmaları dışındaki tüm gözlemsel çalışmalar, </w:t>
      </w:r>
      <w:r>
        <w:t>anket çalışmaları, dosya ve görüntü kayıtları gibi retrospektif arşiv taramaları, kan. idrar, doku, radyolojik görüntü gibi biyokimya, mikrobiyoloji, patoloji ve radyoloji koleksiyon materyalleriyle veya rutin muayene, tetkik, tahlil ve tedavi  işlemleri s</w:t>
      </w:r>
      <w:r>
        <w:t>ırasında elde edilmiş materyallerle yapılacak araştırmalar ile hücre veya doku  kültürü çalışmaları; gen tedavisi klinik araştırmaları dışında kalan ve tanımlamaya yönelik olarak genetik materyalle yapılacak araştırmalar, hemşirelik faaliyetlerinin sınırla</w:t>
      </w:r>
      <w:r>
        <w:t xml:space="preserve">rı içerisinde yapılacak araştırmalar, gıda katkı maddeleriyle yapılacak diyet çalışmaları, egzersiz gibi vücut fizyolojisi ile ilgili araştırmalar, </w:t>
      </w:r>
      <w:proofErr w:type="spellStart"/>
      <w:r>
        <w:t>antropometrik</w:t>
      </w:r>
      <w:proofErr w:type="spellEnd"/>
      <w:r>
        <w:t xml:space="preserve"> ölçümlere dayalı yapılan çalışmalar ve yaşam alışkanlıklarının değerlendirilmesi araştırmaları</w:t>
      </w:r>
      <w:r>
        <w:t xml:space="preserve"> gibi insana bir hekimin doğrudan müdahalesini gerektirmeden yapılacak girişimsel olmayan tüm araştırmaları</w:t>
      </w:r>
      <w:r>
        <w:rPr>
          <w:spacing w:val="-2"/>
        </w:rPr>
        <w:t xml:space="preserve"> </w:t>
      </w:r>
      <w:r>
        <w:t>kapsar.</w:t>
      </w:r>
    </w:p>
    <w:p w14:paraId="1255C296" w14:textId="77777777" w:rsidR="008E2A06" w:rsidRDefault="008E2A06" w:rsidP="000136A3">
      <w:pPr>
        <w:pStyle w:val="GvdeMetni"/>
        <w:spacing w:before="9"/>
        <w:ind w:left="0"/>
        <w:rPr>
          <w:sz w:val="22"/>
        </w:rPr>
      </w:pPr>
    </w:p>
    <w:p w14:paraId="7F16BB72" w14:textId="77777777" w:rsidR="008E2A06" w:rsidRDefault="000136A3" w:rsidP="000136A3">
      <w:pPr>
        <w:pStyle w:val="GvdeMetni"/>
        <w:spacing w:before="1"/>
        <w:jc w:val="both"/>
      </w:pPr>
      <w:r>
        <w:t>(2) Ruhsat veya izin alınmış olsa dahi insanlar üzerinde, ilaç ve terkipleriyle yapılacak ilaç klinik araştırmaları, gözlemsel ilaç çalışma</w:t>
      </w:r>
      <w:r>
        <w:t>ları, gözlemsel tıbbi cihaz çalışmaları; tıbbi cihazlar, ileri tedavi tıbbi ürünleri, geleneksel bitkisel tıbbi ürünler, kozmetik hammadde veya ürünleri dahil insanlarda denenmesi söz konusu olabilecek diğer tüm madde ve ürünlerle yapılacak klinik araştırm</w:t>
      </w:r>
      <w:r>
        <w:t xml:space="preserve">alar; </w:t>
      </w:r>
      <w:proofErr w:type="spellStart"/>
      <w:r>
        <w:t>biyoyararlanım</w:t>
      </w:r>
      <w:proofErr w:type="spellEnd"/>
      <w:r>
        <w:t xml:space="preserve"> ve </w:t>
      </w:r>
      <w:proofErr w:type="spellStart"/>
      <w:r>
        <w:t>biyoeşdeğerlik</w:t>
      </w:r>
      <w:proofErr w:type="spellEnd"/>
      <w:r>
        <w:t xml:space="preserve"> (BY/BE) çalışmaları, </w:t>
      </w:r>
      <w:proofErr w:type="spellStart"/>
      <w:r>
        <w:t>biyobenzer</w:t>
      </w:r>
      <w:proofErr w:type="spellEnd"/>
      <w:r>
        <w:t xml:space="preserve"> ürünler için </w:t>
      </w:r>
      <w:proofErr w:type="spellStart"/>
      <w:r>
        <w:t>kıyaslanabilirlik</w:t>
      </w:r>
      <w:proofErr w:type="spellEnd"/>
      <w:r>
        <w:t xml:space="preserve"> çalışmaları, endüstriyel ileri tıbbi ürünlerle ve endüstriyel olmayan ileri tıbbi ürünlerle yapılacak araştırmalar; insanlar üzerinde yapılacak kök hücre </w:t>
      </w:r>
      <w:r>
        <w:t xml:space="preserve">nakli araştırmaları, organ ve doku nakli araştırmaları, cerrahi araştırmaları, gen tedavisi araştırmaları, gözlemsel ilaç çalışmaları ve gözlemsel tıbbi cihaz çalışmaları bu Yönergenin kapsamı dışındadır. Bu kapsama </w:t>
      </w:r>
      <w:proofErr w:type="gramStart"/>
      <w:r>
        <w:t>giren</w:t>
      </w:r>
      <w:proofErr w:type="gramEnd"/>
      <w:r>
        <w:t xml:space="preserve"> çalışmalar için Sağlık </w:t>
      </w:r>
      <w:proofErr w:type="spellStart"/>
      <w:r>
        <w:t>Bakanlığı"n</w:t>
      </w:r>
      <w:r>
        <w:t>a</w:t>
      </w:r>
      <w:proofErr w:type="spellEnd"/>
      <w:r>
        <w:t xml:space="preserve"> bağlı ilgili etik kurullara başvurulması gerekmektedir.</w:t>
      </w:r>
    </w:p>
    <w:p w14:paraId="26220525" w14:textId="77777777" w:rsidR="008E2A06" w:rsidRDefault="008E2A06" w:rsidP="000136A3">
      <w:pPr>
        <w:pStyle w:val="GvdeMetni"/>
        <w:spacing w:before="4"/>
        <w:ind w:left="0"/>
      </w:pPr>
    </w:p>
    <w:p w14:paraId="022C1252" w14:textId="77777777" w:rsidR="008E2A06" w:rsidRDefault="000136A3" w:rsidP="000136A3">
      <w:pPr>
        <w:pStyle w:val="Balk1"/>
        <w:spacing w:line="262" w:lineRule="exact"/>
        <w:jc w:val="left"/>
      </w:pPr>
      <w:r>
        <w:t>Dayanak</w:t>
      </w:r>
    </w:p>
    <w:p w14:paraId="6FC777E7" w14:textId="77777777" w:rsidR="008E2A06" w:rsidRDefault="000136A3" w:rsidP="000136A3">
      <w:pPr>
        <w:spacing w:line="262" w:lineRule="exact"/>
        <w:ind w:left="116"/>
        <w:rPr>
          <w:sz w:val="23"/>
        </w:rPr>
      </w:pPr>
      <w:r>
        <w:rPr>
          <w:b/>
          <w:sz w:val="23"/>
        </w:rPr>
        <w:t xml:space="preserve">MADDE 3- (1) </w:t>
      </w:r>
      <w:r>
        <w:rPr>
          <w:sz w:val="23"/>
        </w:rPr>
        <w:t>Bu yönerge;</w:t>
      </w:r>
    </w:p>
    <w:p w14:paraId="524FC7E3" w14:textId="77777777" w:rsidR="008E2A06" w:rsidRDefault="000136A3" w:rsidP="000136A3">
      <w:pPr>
        <w:pStyle w:val="ListeParagraf"/>
        <w:numPr>
          <w:ilvl w:val="0"/>
          <w:numId w:val="6"/>
        </w:numPr>
        <w:tabs>
          <w:tab w:val="left" w:pos="323"/>
        </w:tabs>
        <w:spacing w:before="2"/>
        <w:rPr>
          <w:sz w:val="23"/>
        </w:rPr>
      </w:pPr>
      <w:r>
        <w:rPr>
          <w:sz w:val="23"/>
        </w:rPr>
        <w:t>4/11/1981 tarihli ve 2547 sayılı Yükseköğretim Kanunu'nun 14'üncü</w:t>
      </w:r>
      <w:r>
        <w:rPr>
          <w:spacing w:val="-8"/>
          <w:sz w:val="23"/>
        </w:rPr>
        <w:t xml:space="preserve"> </w:t>
      </w:r>
      <w:r>
        <w:rPr>
          <w:sz w:val="23"/>
        </w:rPr>
        <w:t>maddesine</w:t>
      </w:r>
    </w:p>
    <w:p w14:paraId="59B440AE" w14:textId="77777777" w:rsidR="008E2A06" w:rsidRDefault="000136A3" w:rsidP="000136A3">
      <w:pPr>
        <w:pStyle w:val="ListeParagraf"/>
        <w:numPr>
          <w:ilvl w:val="0"/>
          <w:numId w:val="6"/>
        </w:numPr>
        <w:tabs>
          <w:tab w:val="left" w:pos="412"/>
        </w:tabs>
        <w:spacing w:before="26"/>
        <w:ind w:left="116" w:firstLine="0"/>
        <w:rPr>
          <w:sz w:val="23"/>
        </w:rPr>
      </w:pPr>
      <w:r>
        <w:rPr>
          <w:sz w:val="23"/>
        </w:rPr>
        <w:t xml:space="preserve">19/08/2011 tarih ve 28030 sayılı </w:t>
      </w:r>
      <w:proofErr w:type="gramStart"/>
      <w:r>
        <w:rPr>
          <w:sz w:val="23"/>
        </w:rPr>
        <w:t>Resmi</w:t>
      </w:r>
      <w:proofErr w:type="gramEnd"/>
      <w:r>
        <w:rPr>
          <w:sz w:val="23"/>
        </w:rPr>
        <w:t xml:space="preserve"> </w:t>
      </w:r>
      <w:proofErr w:type="spellStart"/>
      <w:r>
        <w:rPr>
          <w:sz w:val="23"/>
        </w:rPr>
        <w:t>Gazete'de</w:t>
      </w:r>
      <w:proofErr w:type="spellEnd"/>
      <w:r>
        <w:rPr>
          <w:sz w:val="23"/>
        </w:rPr>
        <w:t xml:space="preserve"> yayınlanarak yürürlüğe giren Klinik Araştırmalar Hakkında Yönetmelik'e dayanarak</w:t>
      </w:r>
      <w:r>
        <w:rPr>
          <w:spacing w:val="-2"/>
          <w:sz w:val="23"/>
        </w:rPr>
        <w:t xml:space="preserve"> </w:t>
      </w:r>
      <w:r>
        <w:rPr>
          <w:sz w:val="23"/>
        </w:rPr>
        <w:t>hazırlanmıştır.</w:t>
      </w:r>
    </w:p>
    <w:p w14:paraId="73223EA8" w14:textId="77777777" w:rsidR="008E2A06" w:rsidRDefault="008E2A06" w:rsidP="000136A3">
      <w:pPr>
        <w:pStyle w:val="GvdeMetni"/>
        <w:spacing w:before="10"/>
        <w:ind w:left="0"/>
        <w:rPr>
          <w:sz w:val="22"/>
        </w:rPr>
      </w:pPr>
    </w:p>
    <w:p w14:paraId="03CA9F02" w14:textId="77777777" w:rsidR="008E2A06" w:rsidRDefault="000136A3" w:rsidP="000136A3">
      <w:pPr>
        <w:pStyle w:val="GvdeMetni"/>
      </w:pPr>
      <w:r>
        <w:t>Tanımlar</w:t>
      </w:r>
    </w:p>
    <w:p w14:paraId="0F42B977" w14:textId="77777777" w:rsidR="008E2A06" w:rsidRDefault="000136A3" w:rsidP="000136A3">
      <w:pPr>
        <w:ind w:left="116"/>
        <w:rPr>
          <w:sz w:val="23"/>
        </w:rPr>
      </w:pPr>
      <w:r>
        <w:rPr>
          <w:b/>
          <w:sz w:val="23"/>
        </w:rPr>
        <w:t xml:space="preserve">MADDE 4- (1) </w:t>
      </w:r>
      <w:r>
        <w:rPr>
          <w:sz w:val="23"/>
        </w:rPr>
        <w:t>Bu Yönergede geçen;</w:t>
      </w:r>
    </w:p>
    <w:p w14:paraId="0DD1C461" w14:textId="77777777" w:rsidR="008E2A06" w:rsidRDefault="008E2A06" w:rsidP="000136A3">
      <w:pPr>
        <w:rPr>
          <w:sz w:val="23"/>
        </w:rPr>
        <w:sectPr w:rsidR="008E2A06" w:rsidSect="000136A3">
          <w:type w:val="continuous"/>
          <w:pgSz w:w="11910" w:h="16840"/>
          <w:pgMar w:top="1580" w:right="853" w:bottom="280" w:left="1300" w:header="708" w:footer="708" w:gutter="0"/>
          <w:cols w:space="708"/>
        </w:sectPr>
      </w:pPr>
    </w:p>
    <w:p w14:paraId="43676EEA" w14:textId="77777777" w:rsidR="008E2A06" w:rsidRDefault="000136A3" w:rsidP="000136A3">
      <w:pPr>
        <w:pStyle w:val="ListeParagraf"/>
        <w:numPr>
          <w:ilvl w:val="0"/>
          <w:numId w:val="5"/>
        </w:numPr>
        <w:tabs>
          <w:tab w:val="left" w:pos="386"/>
        </w:tabs>
        <w:spacing w:before="88"/>
        <w:ind w:firstLine="0"/>
        <w:jc w:val="both"/>
        <w:rPr>
          <w:sz w:val="20"/>
        </w:rPr>
      </w:pPr>
      <w:r>
        <w:rPr>
          <w:b/>
          <w:sz w:val="23"/>
        </w:rPr>
        <w:lastRenderedPageBreak/>
        <w:t xml:space="preserve">Araştırma protokolü/planı: </w:t>
      </w:r>
      <w:r>
        <w:rPr>
          <w:sz w:val="23"/>
        </w:rPr>
        <w:t>Araştırmanın amacını, ta</w:t>
      </w:r>
      <w:r>
        <w:rPr>
          <w:sz w:val="23"/>
        </w:rPr>
        <w:t>sarımını, metodolojisini, uygulanacak istatistiksel yöntemleri ve araştırmaya ait düzenlemeleri detaylı olarak tanımlayan</w:t>
      </w:r>
      <w:r>
        <w:rPr>
          <w:spacing w:val="-22"/>
          <w:sz w:val="23"/>
        </w:rPr>
        <w:t xml:space="preserve"> </w:t>
      </w:r>
      <w:r>
        <w:rPr>
          <w:sz w:val="23"/>
        </w:rPr>
        <w:t>belgeyi,</w:t>
      </w:r>
    </w:p>
    <w:p w14:paraId="7216F141" w14:textId="77777777" w:rsidR="008E2A06" w:rsidRDefault="008E2A06" w:rsidP="000136A3">
      <w:pPr>
        <w:pStyle w:val="GvdeMetni"/>
        <w:spacing w:before="1"/>
        <w:ind w:left="0"/>
      </w:pPr>
    </w:p>
    <w:p w14:paraId="75323A2E" w14:textId="77777777" w:rsidR="008E2A06" w:rsidRDefault="000136A3" w:rsidP="000136A3">
      <w:pPr>
        <w:pStyle w:val="ListeParagraf"/>
        <w:numPr>
          <w:ilvl w:val="0"/>
          <w:numId w:val="5"/>
        </w:numPr>
        <w:tabs>
          <w:tab w:val="left" w:pos="386"/>
        </w:tabs>
        <w:ind w:firstLine="0"/>
        <w:jc w:val="both"/>
        <w:rPr>
          <w:sz w:val="20"/>
        </w:rPr>
      </w:pPr>
      <w:r>
        <w:rPr>
          <w:b/>
          <w:sz w:val="23"/>
        </w:rPr>
        <w:t xml:space="preserve">Bilgilendirilmiş Gönüllü Olur Formu: </w:t>
      </w:r>
      <w:r>
        <w:rPr>
          <w:sz w:val="23"/>
        </w:rPr>
        <w:t>Araştırmaya iştirak edecek gönüllüye veya gerekli durumlarda yasal temsilcisine, araştı</w:t>
      </w:r>
      <w:r>
        <w:rPr>
          <w:sz w:val="23"/>
        </w:rPr>
        <w:t>rmaya ait her türlü bilgi, uygulama ve riskin insan sağlığı açısından önemi hakkında bilgi verildikten sonra, gönüllünün tamamen serbest iradesi ile araştırmaya iştirak etmeye karar verdiğini gösteren, taraflarca imzalanmış ve tarih düşülmüş yazılı belgeyi</w:t>
      </w:r>
      <w:r>
        <w:rPr>
          <w:sz w:val="23"/>
        </w:rPr>
        <w:t xml:space="preserve"> veya gönüllünün veya yasal temsilcisinin okuma-yazması yoksa veyahut gönüllü görme özürlüyse araştırmadan bağımsız en az bir tanığın huzurunda ve tanığın imzası alınmak suretiyle gönüllünün sözlü olurunu gösteren</w:t>
      </w:r>
      <w:r>
        <w:rPr>
          <w:spacing w:val="-4"/>
          <w:sz w:val="23"/>
        </w:rPr>
        <w:t xml:space="preserve"> </w:t>
      </w:r>
      <w:r>
        <w:rPr>
          <w:sz w:val="23"/>
        </w:rPr>
        <w:t>belgeyi,</w:t>
      </w:r>
    </w:p>
    <w:p w14:paraId="22EEE263" w14:textId="77777777" w:rsidR="008E2A06" w:rsidRDefault="008E2A06" w:rsidP="000136A3">
      <w:pPr>
        <w:pStyle w:val="GvdeMetni"/>
        <w:spacing w:before="1"/>
        <w:ind w:left="0"/>
      </w:pPr>
    </w:p>
    <w:p w14:paraId="416FA431" w14:textId="77777777" w:rsidR="008E2A06" w:rsidRDefault="000136A3" w:rsidP="000136A3">
      <w:pPr>
        <w:pStyle w:val="ListeParagraf"/>
        <w:numPr>
          <w:ilvl w:val="0"/>
          <w:numId w:val="5"/>
        </w:numPr>
        <w:tabs>
          <w:tab w:val="left" w:pos="335"/>
        </w:tabs>
        <w:ind w:firstLine="0"/>
        <w:jc w:val="both"/>
        <w:rPr>
          <w:sz w:val="20"/>
        </w:rPr>
      </w:pPr>
      <w:r>
        <w:rPr>
          <w:b/>
          <w:sz w:val="23"/>
        </w:rPr>
        <w:t xml:space="preserve">Çok Merkezli Klinik Araştırma: </w:t>
      </w:r>
      <w:r>
        <w:rPr>
          <w:sz w:val="23"/>
        </w:rPr>
        <w:t>Tek bir protokole göre birden fazla merkezde yürütülen, bu sebeple birden fazla sorumlu araştırmacının bulunduğu klinik</w:t>
      </w:r>
      <w:r>
        <w:rPr>
          <w:spacing w:val="-6"/>
          <w:sz w:val="23"/>
        </w:rPr>
        <w:t xml:space="preserve"> </w:t>
      </w:r>
      <w:r>
        <w:rPr>
          <w:sz w:val="23"/>
        </w:rPr>
        <w:t>araştırmayı,</w:t>
      </w:r>
    </w:p>
    <w:p w14:paraId="72FAB66D" w14:textId="77777777" w:rsidR="008E2A06" w:rsidRDefault="008E2A06" w:rsidP="000136A3">
      <w:pPr>
        <w:pStyle w:val="GvdeMetni"/>
        <w:spacing w:before="1"/>
        <w:ind w:left="0"/>
      </w:pPr>
    </w:p>
    <w:p w14:paraId="17357082" w14:textId="77777777" w:rsidR="008E2A06" w:rsidRDefault="000136A3" w:rsidP="000136A3">
      <w:pPr>
        <w:pStyle w:val="GvdeMetni"/>
        <w:jc w:val="both"/>
      </w:pPr>
      <w:proofErr w:type="gramStart"/>
      <w:r>
        <w:t>ç</w:t>
      </w:r>
      <w:proofErr w:type="gramEnd"/>
      <w:r>
        <w:t xml:space="preserve">) </w:t>
      </w:r>
      <w:r>
        <w:rPr>
          <w:b/>
        </w:rPr>
        <w:t xml:space="preserve">Destekleyici: </w:t>
      </w:r>
      <w:r>
        <w:t>Bir araştırmanın başlatılmasından, yürütülmesinden ve/veya finanse edilmes</w:t>
      </w:r>
      <w:r>
        <w:t>inden sorumlu olan kişi, kurum veya kuruluşu veya üniversite bilimsel araştırma projeleri ile yürütülecek araştırmalarda olduğu gibi projenin doğrudan sorumlu araştırmacısını; araştırmayı destekleyen kurum veya kuruluş yok ise çok merkezli klinik araştırma</w:t>
      </w:r>
      <w:r>
        <w:t>larda araştırma koordinatörünü, münferit araştırmalarda ise sorumlu</w:t>
      </w:r>
      <w:r>
        <w:rPr>
          <w:spacing w:val="-12"/>
        </w:rPr>
        <w:t xml:space="preserve"> </w:t>
      </w:r>
      <w:r>
        <w:t>araştırmacıyı,</w:t>
      </w:r>
    </w:p>
    <w:p w14:paraId="7829D6E8" w14:textId="5604032D" w:rsidR="008E2A06" w:rsidRDefault="000136A3" w:rsidP="000136A3">
      <w:pPr>
        <w:pStyle w:val="ListeParagraf"/>
        <w:numPr>
          <w:ilvl w:val="0"/>
          <w:numId w:val="5"/>
        </w:numPr>
        <w:tabs>
          <w:tab w:val="left" w:pos="434"/>
        </w:tabs>
        <w:ind w:firstLine="0"/>
        <w:jc w:val="both"/>
        <w:rPr>
          <w:sz w:val="20"/>
        </w:rPr>
      </w:pPr>
      <w:r>
        <w:rPr>
          <w:b/>
          <w:sz w:val="23"/>
        </w:rPr>
        <w:t xml:space="preserve">Etik Kurul: </w:t>
      </w:r>
      <w:r>
        <w:rPr>
          <w:sz w:val="23"/>
        </w:rPr>
        <w:t>Araştırmaya katılacak gönüllülerin hakları, sağlık yönünden güvenliği ve esenliğinin korunması; araştırmanın mevzuata uygun şekilde yapılmasının ve takip edilmes</w:t>
      </w:r>
      <w:r>
        <w:rPr>
          <w:sz w:val="23"/>
        </w:rPr>
        <w:t>inin sağlanması amacıyla araştırma protokolü, araştırmacıların uygunluğu, araştırma yapılacak yerlerin yeterliliği ve gerekliyse gönüllülerin bilgilendirilmesinde kullanılacak yöntem ve belgeler ile bu kişilerden alınacak olurlar ve araştırmalarla ilgili d</w:t>
      </w:r>
      <w:r>
        <w:rPr>
          <w:sz w:val="23"/>
        </w:rPr>
        <w:t xml:space="preserve">iğer konularda bilimsel ve etik yönden görüş vermek üzere klinik araştırma alanlarına göre Dekanlıkça teşkil edilecek ve onaylanacak olan Tekirdağ </w:t>
      </w:r>
      <w:r>
        <w:rPr>
          <w:sz w:val="23"/>
        </w:rPr>
        <w:t>Namık Kemal Üniversitesi Tıp Fakültesi Girişimsel Olmayan Klinik Araştırmalar Etik</w:t>
      </w:r>
      <w:r>
        <w:rPr>
          <w:spacing w:val="-31"/>
          <w:sz w:val="23"/>
        </w:rPr>
        <w:t xml:space="preserve"> </w:t>
      </w:r>
      <w:r>
        <w:rPr>
          <w:sz w:val="23"/>
        </w:rPr>
        <w:t>Kurulu'nu,</w:t>
      </w:r>
    </w:p>
    <w:p w14:paraId="78267E82" w14:textId="77777777" w:rsidR="008E2A06" w:rsidRDefault="008E2A06" w:rsidP="000136A3">
      <w:pPr>
        <w:pStyle w:val="GvdeMetni"/>
        <w:spacing w:before="11"/>
        <w:ind w:left="0"/>
        <w:rPr>
          <w:sz w:val="22"/>
        </w:rPr>
      </w:pPr>
    </w:p>
    <w:p w14:paraId="77D047B8" w14:textId="77777777" w:rsidR="008E2A06" w:rsidRDefault="000136A3" w:rsidP="000136A3">
      <w:pPr>
        <w:pStyle w:val="ListeParagraf"/>
        <w:numPr>
          <w:ilvl w:val="0"/>
          <w:numId w:val="5"/>
        </w:numPr>
        <w:tabs>
          <w:tab w:val="left" w:pos="362"/>
        </w:tabs>
        <w:ind w:firstLine="0"/>
        <w:jc w:val="both"/>
        <w:rPr>
          <w:sz w:val="20"/>
        </w:rPr>
      </w:pPr>
      <w:r>
        <w:rPr>
          <w:b/>
          <w:sz w:val="23"/>
        </w:rPr>
        <w:t xml:space="preserve">Girişimsel Olmayan Klinik Araştırma: </w:t>
      </w:r>
      <w:r>
        <w:rPr>
          <w:sz w:val="23"/>
        </w:rPr>
        <w:t xml:space="preserve">Anket çalışmaları, dosya ve görüntü kayıtları gibi retrospektif arşiv taramaları, kan, idrar, doku, radyolojik görüntü gibi biyokimya, mikrobiyoloji, patoloji ve radyoloji koleksiyon materyalleriyle veya rutin muayene, </w:t>
      </w:r>
      <w:r>
        <w:rPr>
          <w:sz w:val="23"/>
        </w:rPr>
        <w:t>tetkik, tahlil ve tedavi işlemleri sırasında elde edilmiş materyallerle yapılacak araştırmalar ile hücre veya doku kültürü çalışmaları; gen tedavisi klinik araştırmaları dışında kalan ve tanımlamaya yönelik olarak genetik materyalle yapılacak araştırmalar,</w:t>
      </w:r>
      <w:r>
        <w:rPr>
          <w:sz w:val="23"/>
        </w:rPr>
        <w:t xml:space="preserve"> hemşirelik faaliyetlerinin sınırları içerisinde yapılacak araştırmalar, gıda katkı maddeleriyle yapılacak diyet çalışmaları, egzersiz gibi vücut fizyolojisi ile ilgili araştırmalar, </w:t>
      </w:r>
      <w:proofErr w:type="spellStart"/>
      <w:r>
        <w:rPr>
          <w:sz w:val="23"/>
        </w:rPr>
        <w:t>antropometrik</w:t>
      </w:r>
      <w:proofErr w:type="spellEnd"/>
      <w:r>
        <w:rPr>
          <w:sz w:val="23"/>
        </w:rPr>
        <w:t xml:space="preserve"> ölçümlere dayalı yapılan çalışmalar ve yaşam alışkanlıkları</w:t>
      </w:r>
      <w:r>
        <w:rPr>
          <w:sz w:val="23"/>
        </w:rPr>
        <w:t>nın değerlendirilmesi araştırmaları gibi insana bir hekimin doğrudan müdahalesini gerektirmeden yapılacak tüm</w:t>
      </w:r>
      <w:r>
        <w:rPr>
          <w:spacing w:val="-1"/>
          <w:sz w:val="23"/>
        </w:rPr>
        <w:t xml:space="preserve"> </w:t>
      </w:r>
      <w:r>
        <w:rPr>
          <w:sz w:val="23"/>
        </w:rPr>
        <w:t>araştırmaları,</w:t>
      </w:r>
    </w:p>
    <w:p w14:paraId="0C5C5FD9" w14:textId="77777777" w:rsidR="008E2A06" w:rsidRDefault="008E2A06" w:rsidP="000136A3">
      <w:pPr>
        <w:pStyle w:val="GvdeMetni"/>
        <w:spacing w:before="2"/>
        <w:ind w:left="0"/>
      </w:pPr>
    </w:p>
    <w:p w14:paraId="4ED5C100" w14:textId="77777777" w:rsidR="008E2A06" w:rsidRDefault="000136A3" w:rsidP="000136A3">
      <w:pPr>
        <w:pStyle w:val="ListeParagraf"/>
        <w:numPr>
          <w:ilvl w:val="0"/>
          <w:numId w:val="5"/>
        </w:numPr>
        <w:tabs>
          <w:tab w:val="left" w:pos="345"/>
        </w:tabs>
        <w:ind w:firstLine="0"/>
        <w:jc w:val="both"/>
        <w:rPr>
          <w:sz w:val="20"/>
        </w:rPr>
      </w:pPr>
      <w:r>
        <w:rPr>
          <w:b/>
          <w:sz w:val="23"/>
        </w:rPr>
        <w:t xml:space="preserve">Gönüllü: </w:t>
      </w:r>
      <w:r>
        <w:rPr>
          <w:sz w:val="23"/>
        </w:rPr>
        <w:t>Bu Yönerge hükümleri ve ilgili mevzuat uyarınca, gerektiğinde bizzat kendisinin veya yasal temsilcisinin yazılı oluru alı</w:t>
      </w:r>
      <w:r>
        <w:rPr>
          <w:sz w:val="23"/>
        </w:rPr>
        <w:t>nmak suretiyle klinik araştırmaya iştirak edecek hasta veya sağlıklı</w:t>
      </w:r>
      <w:r>
        <w:rPr>
          <w:spacing w:val="-1"/>
          <w:sz w:val="23"/>
        </w:rPr>
        <w:t xml:space="preserve"> </w:t>
      </w:r>
      <w:r>
        <w:rPr>
          <w:sz w:val="23"/>
        </w:rPr>
        <w:t>kişiyi,</w:t>
      </w:r>
    </w:p>
    <w:p w14:paraId="795A0D8A" w14:textId="77777777" w:rsidR="008E2A06" w:rsidRDefault="008E2A06" w:rsidP="000136A3">
      <w:pPr>
        <w:pStyle w:val="GvdeMetni"/>
        <w:spacing w:before="1"/>
        <w:ind w:left="0"/>
      </w:pPr>
    </w:p>
    <w:p w14:paraId="0EC66098" w14:textId="77777777" w:rsidR="008E2A06" w:rsidRDefault="000136A3" w:rsidP="000136A3">
      <w:pPr>
        <w:pStyle w:val="ListeParagraf"/>
        <w:numPr>
          <w:ilvl w:val="0"/>
          <w:numId w:val="5"/>
        </w:numPr>
        <w:tabs>
          <w:tab w:val="left" w:pos="338"/>
        </w:tabs>
        <w:ind w:firstLine="0"/>
        <w:jc w:val="both"/>
        <w:rPr>
          <w:sz w:val="20"/>
        </w:rPr>
      </w:pPr>
      <w:r>
        <w:rPr>
          <w:b/>
          <w:sz w:val="23"/>
        </w:rPr>
        <w:t xml:space="preserve">İyi Klinik Uygulamaları: </w:t>
      </w:r>
      <w:r>
        <w:rPr>
          <w:sz w:val="23"/>
        </w:rPr>
        <w:t xml:space="preserve">Araştırmaların uluslararası bilimsel ve etik standartlarda yapılmasını sağlamak amacıyla araştırmanın tasarlanması, yürütülmesi, izlenmesi, </w:t>
      </w:r>
      <w:proofErr w:type="spellStart"/>
      <w:r>
        <w:rPr>
          <w:sz w:val="23"/>
        </w:rPr>
        <w:t>bütçelendiril</w:t>
      </w:r>
      <w:r>
        <w:rPr>
          <w:sz w:val="23"/>
        </w:rPr>
        <w:t>mesi</w:t>
      </w:r>
      <w:proofErr w:type="spellEnd"/>
      <w:r>
        <w:rPr>
          <w:sz w:val="23"/>
        </w:rPr>
        <w:t>, değerlendirilmesi ve raporlanması; gönüllünün tüm haklarının ve vücut bütünlüğünün korunması; araştırma verilerinin güvenilirliğinin sağlanması,</w:t>
      </w:r>
      <w:r>
        <w:rPr>
          <w:spacing w:val="-2"/>
          <w:sz w:val="23"/>
        </w:rPr>
        <w:t xml:space="preserve"> </w:t>
      </w:r>
      <w:r>
        <w:rPr>
          <w:sz w:val="23"/>
        </w:rPr>
        <w:t>gizliliğinin</w:t>
      </w:r>
    </w:p>
    <w:p w14:paraId="6B746BA0" w14:textId="77777777" w:rsidR="008E2A06" w:rsidRDefault="008E2A06" w:rsidP="000136A3">
      <w:pPr>
        <w:jc w:val="both"/>
        <w:rPr>
          <w:sz w:val="20"/>
        </w:rPr>
        <w:sectPr w:rsidR="008E2A06" w:rsidSect="000136A3">
          <w:pgSz w:w="11910" w:h="16840"/>
          <w:pgMar w:top="1580" w:right="853" w:bottom="280" w:left="1300" w:header="708" w:footer="708" w:gutter="0"/>
          <w:cols w:space="708"/>
        </w:sectPr>
      </w:pPr>
    </w:p>
    <w:p w14:paraId="6C51D31B" w14:textId="77777777" w:rsidR="008E2A06" w:rsidRDefault="000136A3" w:rsidP="000136A3">
      <w:pPr>
        <w:pStyle w:val="GvdeMetni"/>
        <w:spacing w:before="88"/>
        <w:jc w:val="both"/>
      </w:pPr>
      <w:proofErr w:type="gramStart"/>
      <w:r>
        <w:lastRenderedPageBreak/>
        <w:t>muhafaza</w:t>
      </w:r>
      <w:proofErr w:type="gramEnd"/>
      <w:r>
        <w:t xml:space="preserve"> edilmesi gibi konular hakkındaki düzenlemeleri kapsayan ve araştırmay</w:t>
      </w:r>
      <w:r>
        <w:t>a iştirak eden taraflarca uyulması gereken kuralları,</w:t>
      </w:r>
    </w:p>
    <w:p w14:paraId="1A1CA7ED" w14:textId="77777777" w:rsidR="008E2A06" w:rsidRDefault="008E2A06" w:rsidP="000136A3">
      <w:pPr>
        <w:pStyle w:val="GvdeMetni"/>
        <w:spacing w:before="1"/>
        <w:ind w:left="0"/>
      </w:pPr>
    </w:p>
    <w:p w14:paraId="5862DEFA" w14:textId="77777777" w:rsidR="008E2A06" w:rsidRDefault="000136A3" w:rsidP="000136A3">
      <w:pPr>
        <w:pStyle w:val="GvdeMetni"/>
        <w:jc w:val="both"/>
      </w:pPr>
      <w:proofErr w:type="gramStart"/>
      <w:r>
        <w:rPr>
          <w:b/>
        </w:rPr>
        <w:t>ğ</w:t>
      </w:r>
      <w:proofErr w:type="gramEnd"/>
      <w:r>
        <w:rPr>
          <w:b/>
        </w:rPr>
        <w:t xml:space="preserve">) Kısıtlı: </w:t>
      </w:r>
      <w:r>
        <w:t xml:space="preserve">Yoğun bakımdaki hastalar, askeri görevini yapan er ve erbaşlar dahil olmak üzere 22/11/2001 tarihli ve 4721 sayılı Türk Medeni Kanununun 405 ila 408 inci maddelerinde tanımlanan kısıtlılık </w:t>
      </w:r>
      <w:r>
        <w:t>halleri kapsamındaki kişileri,</w:t>
      </w:r>
    </w:p>
    <w:p w14:paraId="6410F948" w14:textId="77777777" w:rsidR="008E2A06" w:rsidRDefault="000136A3" w:rsidP="000136A3">
      <w:pPr>
        <w:pStyle w:val="ListeParagraf"/>
        <w:numPr>
          <w:ilvl w:val="0"/>
          <w:numId w:val="5"/>
        </w:numPr>
        <w:tabs>
          <w:tab w:val="left" w:pos="422"/>
        </w:tabs>
        <w:spacing w:before="1"/>
        <w:ind w:firstLine="0"/>
        <w:jc w:val="both"/>
        <w:rPr>
          <w:sz w:val="23"/>
        </w:rPr>
      </w:pPr>
      <w:r>
        <w:rPr>
          <w:b/>
          <w:sz w:val="23"/>
        </w:rPr>
        <w:t xml:space="preserve">Koordinatör: </w:t>
      </w:r>
      <w:r>
        <w:rPr>
          <w:sz w:val="23"/>
        </w:rPr>
        <w:t>Çok merkezli bir araştırmada bu merkezlerin sorumlu araştırmacıları ile etik kurul ve destekleyici arasındaki koordinasyonu yürüten, uzmanlığını veya doktorasını tamamlamış</w:t>
      </w:r>
      <w:r>
        <w:rPr>
          <w:spacing w:val="-2"/>
          <w:sz w:val="23"/>
        </w:rPr>
        <w:t xml:space="preserve"> </w:t>
      </w:r>
      <w:r>
        <w:rPr>
          <w:sz w:val="23"/>
        </w:rPr>
        <w:t>araştırmacıyı,</w:t>
      </w:r>
    </w:p>
    <w:p w14:paraId="7A381E89" w14:textId="77777777" w:rsidR="008E2A06" w:rsidRDefault="000136A3" w:rsidP="000136A3">
      <w:pPr>
        <w:pStyle w:val="GvdeMetni"/>
        <w:jc w:val="both"/>
      </w:pPr>
      <w:r>
        <w:rPr>
          <w:b/>
        </w:rPr>
        <w:t xml:space="preserve">ı) Sorumlu araştırmacı: </w:t>
      </w:r>
      <w:r>
        <w:t>Uzmanlık veya doktora eğitimini tamamlamış ve araştırmanın yürütülmesinden sorumlu olan kişiyi ifade eder.</w:t>
      </w:r>
    </w:p>
    <w:p w14:paraId="55F876BD" w14:textId="77777777" w:rsidR="008E2A06" w:rsidRDefault="008E2A06" w:rsidP="000136A3">
      <w:pPr>
        <w:pStyle w:val="GvdeMetni"/>
        <w:ind w:left="0"/>
        <w:rPr>
          <w:sz w:val="26"/>
        </w:rPr>
      </w:pPr>
    </w:p>
    <w:p w14:paraId="37F00C00" w14:textId="77777777" w:rsidR="008E2A06" w:rsidRDefault="008E2A06" w:rsidP="000136A3">
      <w:pPr>
        <w:pStyle w:val="GvdeMetni"/>
        <w:ind w:left="0"/>
        <w:rPr>
          <w:sz w:val="26"/>
        </w:rPr>
      </w:pPr>
    </w:p>
    <w:p w14:paraId="0F091F97" w14:textId="77777777" w:rsidR="008E2A06" w:rsidRDefault="000136A3" w:rsidP="000136A3">
      <w:pPr>
        <w:pStyle w:val="Balk1"/>
        <w:spacing w:before="199"/>
        <w:ind w:left="318"/>
      </w:pPr>
      <w:r>
        <w:t>İKİNCİ BÖLÜM</w:t>
      </w:r>
    </w:p>
    <w:p w14:paraId="6C0D912F" w14:textId="77777777" w:rsidR="008E2A06" w:rsidRDefault="000136A3" w:rsidP="000136A3">
      <w:pPr>
        <w:ind w:left="311"/>
        <w:jc w:val="center"/>
        <w:rPr>
          <w:b/>
          <w:sz w:val="23"/>
        </w:rPr>
      </w:pPr>
      <w:r>
        <w:rPr>
          <w:b/>
          <w:sz w:val="23"/>
        </w:rPr>
        <w:t>Araştırmaya İştirak Edecek Gönüllülerin Korunması, Araştırma İçin Olur Alınması ve Sorumluluk</w:t>
      </w:r>
    </w:p>
    <w:p w14:paraId="5F87B427" w14:textId="77777777" w:rsidR="008E2A06" w:rsidRDefault="000136A3" w:rsidP="000136A3">
      <w:pPr>
        <w:spacing w:line="261" w:lineRule="exact"/>
        <w:ind w:left="116"/>
        <w:rPr>
          <w:sz w:val="23"/>
        </w:rPr>
      </w:pPr>
      <w:r>
        <w:rPr>
          <w:b/>
          <w:sz w:val="23"/>
        </w:rPr>
        <w:t xml:space="preserve">MADDE 5- (1) </w:t>
      </w:r>
      <w:r>
        <w:rPr>
          <w:sz w:val="23"/>
        </w:rPr>
        <w:t>Bu yönergeye göre</w:t>
      </w:r>
    </w:p>
    <w:p w14:paraId="74173493" w14:textId="77777777" w:rsidR="008E2A06" w:rsidRDefault="000136A3" w:rsidP="000136A3">
      <w:pPr>
        <w:pStyle w:val="ListeParagraf"/>
        <w:numPr>
          <w:ilvl w:val="0"/>
          <w:numId w:val="4"/>
        </w:numPr>
        <w:tabs>
          <w:tab w:val="left" w:pos="409"/>
        </w:tabs>
        <w:ind w:firstLine="0"/>
        <w:rPr>
          <w:sz w:val="23"/>
        </w:rPr>
      </w:pPr>
      <w:r>
        <w:rPr>
          <w:sz w:val="23"/>
        </w:rPr>
        <w:t>Araştırma sonucunda elde edilecek bilgilerin yayımlanması durumunda gönüllünün kimlik bilgileri</w:t>
      </w:r>
      <w:r>
        <w:rPr>
          <w:spacing w:val="-1"/>
          <w:sz w:val="23"/>
        </w:rPr>
        <w:t xml:space="preserve"> </w:t>
      </w:r>
      <w:r>
        <w:rPr>
          <w:sz w:val="23"/>
        </w:rPr>
        <w:t>açıklanamaz,</w:t>
      </w:r>
    </w:p>
    <w:p w14:paraId="3948E7A2" w14:textId="77777777" w:rsidR="008E2A06" w:rsidRDefault="000136A3" w:rsidP="000136A3">
      <w:pPr>
        <w:pStyle w:val="ListeParagraf"/>
        <w:numPr>
          <w:ilvl w:val="0"/>
          <w:numId w:val="4"/>
        </w:numPr>
        <w:tabs>
          <w:tab w:val="left" w:pos="367"/>
        </w:tabs>
        <w:ind w:firstLine="0"/>
        <w:rPr>
          <w:sz w:val="20"/>
        </w:rPr>
      </w:pPr>
      <w:r>
        <w:rPr>
          <w:sz w:val="23"/>
        </w:rPr>
        <w:t>Şahıslardan elde edile</w:t>
      </w:r>
      <w:r>
        <w:rPr>
          <w:sz w:val="23"/>
        </w:rPr>
        <w:t>cek her türlü numune ve sair veri şahsın veya yasal temsilcisinin izni olmadan</w:t>
      </w:r>
      <w:r>
        <w:rPr>
          <w:spacing w:val="-1"/>
          <w:sz w:val="23"/>
        </w:rPr>
        <w:t xml:space="preserve"> </w:t>
      </w:r>
      <w:r>
        <w:rPr>
          <w:sz w:val="23"/>
        </w:rPr>
        <w:t>kullanılamaz,</w:t>
      </w:r>
    </w:p>
    <w:p w14:paraId="3CEB11FC" w14:textId="77777777" w:rsidR="008E2A06" w:rsidRDefault="008E2A06" w:rsidP="000136A3">
      <w:pPr>
        <w:pStyle w:val="GvdeMetni"/>
        <w:spacing w:before="6"/>
        <w:ind w:left="0"/>
      </w:pPr>
    </w:p>
    <w:p w14:paraId="211DCC1D" w14:textId="77777777" w:rsidR="008E2A06" w:rsidRDefault="000136A3" w:rsidP="000136A3">
      <w:pPr>
        <w:pStyle w:val="ListeParagraf"/>
        <w:numPr>
          <w:ilvl w:val="0"/>
          <w:numId w:val="4"/>
        </w:numPr>
        <w:tabs>
          <w:tab w:val="left" w:pos="335"/>
        </w:tabs>
        <w:spacing w:before="1"/>
        <w:ind w:firstLine="0"/>
        <w:jc w:val="both"/>
        <w:rPr>
          <w:sz w:val="20"/>
        </w:rPr>
      </w:pPr>
      <w:r>
        <w:rPr>
          <w:sz w:val="23"/>
        </w:rPr>
        <w:t>Kan, idrar, doku, radyoloji görüntüleri ve benzeri materyalin toplanmış koleksiyonlarını klinik araştırma amacıyla kullanabilmek için her bir materyalin sahibinde</w:t>
      </w:r>
      <w:r>
        <w:rPr>
          <w:sz w:val="23"/>
        </w:rPr>
        <w:t>n veya yasal temsilcisinden imzalanmış olur alınır. Ancak materyallerin sahiplerine veya yasal temsilcilerine ulaşma olanağı kalmamış ise etik kurulun bu durumu tespit etmesi ve onayı halinde ilgili koleksiyon anonim olarak kabul edilir. Koleksiyondan elde</w:t>
      </w:r>
      <w:r>
        <w:rPr>
          <w:sz w:val="23"/>
        </w:rPr>
        <w:t xml:space="preserve"> edilecek veriler, materyal sahibinin kimlik bilgilerinin gizli kalması şartıyla, klinik araştırma amacıyla kullanılabilir. Bu bentte bahsedilen anonimleştirme işlemi Sağlık Bakanlığı tarafından yayınlanan Klinik Araştırmalar Hakkında Yönetmeliğin yayımlan</w:t>
      </w:r>
      <w:r>
        <w:rPr>
          <w:sz w:val="23"/>
        </w:rPr>
        <w:t>masından önce toplanmış materyal için geçerli olup mevzuata göre Yönetmelik yürürlüğe girdikten sonra toplanacak materyal için</w:t>
      </w:r>
      <w:r>
        <w:rPr>
          <w:spacing w:val="-5"/>
          <w:sz w:val="23"/>
        </w:rPr>
        <w:t xml:space="preserve"> </w:t>
      </w:r>
      <w:r>
        <w:rPr>
          <w:sz w:val="23"/>
        </w:rPr>
        <w:t>uygulanmaz.</w:t>
      </w:r>
    </w:p>
    <w:p w14:paraId="0F2C26AA" w14:textId="77777777" w:rsidR="008E2A06" w:rsidRDefault="008E2A06" w:rsidP="000136A3">
      <w:pPr>
        <w:pStyle w:val="GvdeMetni"/>
        <w:ind w:left="0"/>
      </w:pPr>
    </w:p>
    <w:p w14:paraId="2BD40F17" w14:textId="77777777" w:rsidR="008E2A06" w:rsidRDefault="000136A3" w:rsidP="000136A3">
      <w:pPr>
        <w:pStyle w:val="GvdeMetni"/>
        <w:jc w:val="both"/>
      </w:pPr>
      <w:proofErr w:type="gramStart"/>
      <w:r>
        <w:t>ç</w:t>
      </w:r>
      <w:proofErr w:type="gramEnd"/>
      <w:r>
        <w:t>) Çocuklar, gebeler, lohusalar, emziren kadınlar ve kısıtlıların araştırmaya iştirakleri durumunda Klinik Araştırma</w:t>
      </w:r>
      <w:r>
        <w:t>lar Hakkında Yönetmeliğin ilgili maddeleri ile ulusal ve uluslararası diğer düzenlemelere uygun olarak araştırma planlanır ve yürütülür.</w:t>
      </w:r>
    </w:p>
    <w:p w14:paraId="0153BC34" w14:textId="77777777" w:rsidR="008E2A06" w:rsidRDefault="008E2A06" w:rsidP="000136A3">
      <w:pPr>
        <w:pStyle w:val="GvdeMetni"/>
        <w:ind w:left="0"/>
        <w:rPr>
          <w:sz w:val="26"/>
        </w:rPr>
      </w:pPr>
    </w:p>
    <w:p w14:paraId="0467B803" w14:textId="77777777" w:rsidR="008E2A06" w:rsidRDefault="008E2A06" w:rsidP="000136A3">
      <w:pPr>
        <w:pStyle w:val="GvdeMetni"/>
        <w:ind w:left="0"/>
        <w:rPr>
          <w:sz w:val="26"/>
        </w:rPr>
      </w:pPr>
    </w:p>
    <w:p w14:paraId="1A0B0982" w14:textId="77777777" w:rsidR="008E2A06" w:rsidRDefault="008E2A06" w:rsidP="000136A3">
      <w:pPr>
        <w:pStyle w:val="GvdeMetni"/>
        <w:ind w:left="0"/>
        <w:rPr>
          <w:sz w:val="26"/>
        </w:rPr>
      </w:pPr>
    </w:p>
    <w:p w14:paraId="34788AF7" w14:textId="77777777" w:rsidR="008E2A06" w:rsidRDefault="000136A3" w:rsidP="000136A3">
      <w:pPr>
        <w:pStyle w:val="Balk1"/>
        <w:spacing w:before="168"/>
        <w:ind w:left="318"/>
      </w:pPr>
      <w:r>
        <w:t>ÜÇÜNCÜ BÖLÜM</w:t>
      </w:r>
    </w:p>
    <w:p w14:paraId="0F77EBEC" w14:textId="77777777" w:rsidR="008E2A06" w:rsidRDefault="000136A3" w:rsidP="000136A3">
      <w:pPr>
        <w:spacing w:line="264" w:lineRule="exact"/>
        <w:ind w:left="318"/>
        <w:jc w:val="center"/>
        <w:rPr>
          <w:b/>
          <w:sz w:val="23"/>
        </w:rPr>
      </w:pPr>
      <w:r>
        <w:rPr>
          <w:b/>
          <w:sz w:val="23"/>
        </w:rPr>
        <w:t>Etik Kurulların Yapısı, Çalışma Usul ve Esasları ile Görevleri</w:t>
      </w:r>
    </w:p>
    <w:p w14:paraId="06A27FA6" w14:textId="77777777" w:rsidR="008E2A06" w:rsidRDefault="008E2A06" w:rsidP="000136A3">
      <w:pPr>
        <w:pStyle w:val="GvdeMetni"/>
        <w:spacing w:before="10"/>
        <w:ind w:left="0"/>
        <w:rPr>
          <w:b/>
          <w:sz w:val="22"/>
        </w:rPr>
      </w:pPr>
    </w:p>
    <w:p w14:paraId="2307BEA6" w14:textId="77777777" w:rsidR="008E2A06" w:rsidRDefault="000136A3" w:rsidP="000136A3">
      <w:pPr>
        <w:spacing w:line="262" w:lineRule="exact"/>
        <w:ind w:left="116"/>
        <w:rPr>
          <w:b/>
          <w:sz w:val="23"/>
        </w:rPr>
      </w:pPr>
      <w:r>
        <w:rPr>
          <w:b/>
          <w:sz w:val="23"/>
        </w:rPr>
        <w:t>Kuruluş</w:t>
      </w:r>
    </w:p>
    <w:p w14:paraId="7B29BABF" w14:textId="77777777" w:rsidR="008E2A06" w:rsidRDefault="000136A3" w:rsidP="000136A3">
      <w:pPr>
        <w:pStyle w:val="GvdeMetni"/>
      </w:pPr>
      <w:r>
        <w:rPr>
          <w:b/>
        </w:rPr>
        <w:t xml:space="preserve">MADDE </w:t>
      </w:r>
      <w:r>
        <w:t>6- (1) Etik Kurul aşağıdaki niteliklere sahip ve Dekan tarafından atanan en az 11 üyeden oluşur.</w:t>
      </w:r>
    </w:p>
    <w:p w14:paraId="0AEE266E" w14:textId="77777777" w:rsidR="008E2A06" w:rsidRDefault="000136A3" w:rsidP="000136A3">
      <w:pPr>
        <w:pStyle w:val="ListeParagraf"/>
        <w:numPr>
          <w:ilvl w:val="0"/>
          <w:numId w:val="3"/>
        </w:numPr>
        <w:tabs>
          <w:tab w:val="left" w:pos="335"/>
        </w:tabs>
        <w:rPr>
          <w:sz w:val="20"/>
        </w:rPr>
      </w:pPr>
      <w:r>
        <w:rPr>
          <w:sz w:val="23"/>
        </w:rPr>
        <w:t>Dahili Tıp Bilimlerinden en az 3</w:t>
      </w:r>
      <w:r>
        <w:rPr>
          <w:spacing w:val="-5"/>
          <w:sz w:val="23"/>
        </w:rPr>
        <w:t xml:space="preserve"> </w:t>
      </w:r>
      <w:r>
        <w:rPr>
          <w:sz w:val="23"/>
        </w:rPr>
        <w:t>üye,</w:t>
      </w:r>
    </w:p>
    <w:p w14:paraId="6D44F2F2" w14:textId="77777777" w:rsidR="008E2A06" w:rsidRDefault="008E2A06" w:rsidP="000136A3">
      <w:pPr>
        <w:rPr>
          <w:sz w:val="20"/>
        </w:rPr>
        <w:sectPr w:rsidR="008E2A06" w:rsidSect="000136A3">
          <w:pgSz w:w="11910" w:h="16840"/>
          <w:pgMar w:top="1580" w:right="853" w:bottom="280" w:left="1300" w:header="708" w:footer="708" w:gutter="0"/>
          <w:cols w:space="708"/>
        </w:sectPr>
      </w:pPr>
    </w:p>
    <w:p w14:paraId="09291578" w14:textId="77777777" w:rsidR="008E2A06" w:rsidRDefault="000136A3" w:rsidP="000136A3">
      <w:pPr>
        <w:pStyle w:val="ListeParagraf"/>
        <w:numPr>
          <w:ilvl w:val="0"/>
          <w:numId w:val="3"/>
        </w:numPr>
        <w:tabs>
          <w:tab w:val="left" w:pos="379"/>
        </w:tabs>
        <w:spacing w:before="71"/>
        <w:ind w:left="378" w:hanging="263"/>
        <w:rPr>
          <w:sz w:val="23"/>
        </w:rPr>
      </w:pPr>
      <w:r>
        <w:rPr>
          <w:sz w:val="23"/>
        </w:rPr>
        <w:lastRenderedPageBreak/>
        <w:t xml:space="preserve">Cerrahi Tıp Bilimlerinden en </w:t>
      </w:r>
      <w:r>
        <w:rPr>
          <w:sz w:val="23"/>
        </w:rPr>
        <w:t>az 3</w:t>
      </w:r>
      <w:r>
        <w:rPr>
          <w:spacing w:val="-11"/>
          <w:sz w:val="23"/>
        </w:rPr>
        <w:t xml:space="preserve"> </w:t>
      </w:r>
      <w:r>
        <w:rPr>
          <w:sz w:val="23"/>
        </w:rPr>
        <w:t>üye,</w:t>
      </w:r>
    </w:p>
    <w:p w14:paraId="08295146" w14:textId="77777777" w:rsidR="008E2A06" w:rsidRDefault="000136A3" w:rsidP="000136A3">
      <w:pPr>
        <w:pStyle w:val="ListeParagraf"/>
        <w:numPr>
          <w:ilvl w:val="0"/>
          <w:numId w:val="3"/>
        </w:numPr>
        <w:tabs>
          <w:tab w:val="left" w:pos="355"/>
        </w:tabs>
        <w:spacing w:before="3" w:line="264" w:lineRule="exact"/>
        <w:ind w:left="354" w:hanging="239"/>
        <w:rPr>
          <w:sz w:val="23"/>
        </w:rPr>
      </w:pPr>
      <w:r>
        <w:rPr>
          <w:sz w:val="23"/>
        </w:rPr>
        <w:t>Temel Tıp Bilimlerinden en az 3</w:t>
      </w:r>
      <w:r>
        <w:rPr>
          <w:spacing w:val="-3"/>
          <w:sz w:val="23"/>
        </w:rPr>
        <w:t xml:space="preserve"> </w:t>
      </w:r>
      <w:r>
        <w:rPr>
          <w:sz w:val="23"/>
        </w:rPr>
        <w:t>üye,</w:t>
      </w:r>
    </w:p>
    <w:p w14:paraId="341F9225" w14:textId="77777777" w:rsidR="008E2A06" w:rsidRDefault="000136A3" w:rsidP="000136A3">
      <w:pPr>
        <w:pStyle w:val="ListeParagraf"/>
        <w:numPr>
          <w:ilvl w:val="0"/>
          <w:numId w:val="3"/>
        </w:numPr>
        <w:tabs>
          <w:tab w:val="left" w:pos="379"/>
        </w:tabs>
        <w:spacing w:line="264" w:lineRule="exact"/>
        <w:ind w:left="378" w:hanging="263"/>
        <w:rPr>
          <w:sz w:val="23"/>
        </w:rPr>
      </w:pPr>
      <w:r>
        <w:rPr>
          <w:sz w:val="23"/>
        </w:rPr>
        <w:t>Bir İstatistik</w:t>
      </w:r>
      <w:r>
        <w:rPr>
          <w:spacing w:val="-1"/>
          <w:sz w:val="23"/>
        </w:rPr>
        <w:t xml:space="preserve"> </w:t>
      </w:r>
      <w:r>
        <w:rPr>
          <w:sz w:val="23"/>
        </w:rPr>
        <w:t>Uzmanı,</w:t>
      </w:r>
    </w:p>
    <w:p w14:paraId="3A365342" w14:textId="77777777" w:rsidR="008E2A06" w:rsidRDefault="000136A3" w:rsidP="000136A3">
      <w:pPr>
        <w:pStyle w:val="ListeParagraf"/>
        <w:numPr>
          <w:ilvl w:val="0"/>
          <w:numId w:val="3"/>
        </w:numPr>
        <w:tabs>
          <w:tab w:val="left" w:pos="355"/>
        </w:tabs>
        <w:spacing w:line="264" w:lineRule="exact"/>
        <w:ind w:left="354" w:hanging="239"/>
        <w:rPr>
          <w:sz w:val="23"/>
        </w:rPr>
      </w:pPr>
      <w:r>
        <w:rPr>
          <w:sz w:val="23"/>
        </w:rPr>
        <w:t>Varsa, Tıp Etiği (Deontoloji) alanında uzmanlık veya doktora yapmış</w:t>
      </w:r>
      <w:r>
        <w:rPr>
          <w:spacing w:val="-13"/>
          <w:sz w:val="23"/>
        </w:rPr>
        <w:t xml:space="preserve"> </w:t>
      </w:r>
      <w:r>
        <w:rPr>
          <w:sz w:val="23"/>
        </w:rPr>
        <w:t>kişi.</w:t>
      </w:r>
    </w:p>
    <w:p w14:paraId="5124DF32" w14:textId="77777777" w:rsidR="008E2A06" w:rsidRDefault="000136A3" w:rsidP="000136A3">
      <w:pPr>
        <w:pStyle w:val="GvdeMetni"/>
        <w:jc w:val="both"/>
      </w:pPr>
      <w:r>
        <w:t>(2) Etik Kurul üyeleri ve sekreter Tıp Fakültesi Dekanlığının hazırlayacağı gizlilik belgesini imzalayarak görev</w:t>
      </w:r>
      <w:r>
        <w:t>lerine başlar ve iki yıl süre ile görev yapar. Üyeliğe tekrar atanabilmek mümkündür.</w:t>
      </w:r>
    </w:p>
    <w:p w14:paraId="0E93614D" w14:textId="77777777" w:rsidR="008E2A06" w:rsidRDefault="000136A3" w:rsidP="000136A3">
      <w:pPr>
        <w:pStyle w:val="Balk1"/>
        <w:spacing w:before="5" w:line="262" w:lineRule="exact"/>
        <w:jc w:val="both"/>
      </w:pPr>
      <w:r>
        <w:t>Çalışma Esasları</w:t>
      </w:r>
    </w:p>
    <w:p w14:paraId="47087C2C" w14:textId="77777777" w:rsidR="008E2A06" w:rsidRDefault="000136A3" w:rsidP="000136A3">
      <w:pPr>
        <w:pStyle w:val="GvdeMetni"/>
        <w:jc w:val="both"/>
      </w:pPr>
      <w:r>
        <w:rPr>
          <w:b/>
        </w:rPr>
        <w:t xml:space="preserve">MADDE 7- (1) </w:t>
      </w:r>
      <w:r>
        <w:t>Kurul Üyeleri, atanmalarını takip eden ilk otuz gün içinde toplanarak aralarından gizli oyla başkan ve başkan yardımcısı seçer. Başkan Kurulu temsil eder. Başkan olmadığında kendisini başkan yardımcısı temsil eder.</w:t>
      </w:r>
    </w:p>
    <w:p w14:paraId="2B907C7A" w14:textId="77777777" w:rsidR="008E2A06" w:rsidRDefault="000136A3" w:rsidP="000136A3">
      <w:pPr>
        <w:pStyle w:val="ListeParagraf"/>
        <w:numPr>
          <w:ilvl w:val="0"/>
          <w:numId w:val="2"/>
        </w:numPr>
        <w:tabs>
          <w:tab w:val="left" w:pos="470"/>
        </w:tabs>
        <w:ind w:firstLine="0"/>
        <w:jc w:val="both"/>
        <w:rPr>
          <w:sz w:val="23"/>
        </w:rPr>
      </w:pPr>
      <w:r>
        <w:rPr>
          <w:sz w:val="23"/>
        </w:rPr>
        <w:t>Kurul, Başkanın çağrısıyla ayda en az bir</w:t>
      </w:r>
      <w:r>
        <w:rPr>
          <w:sz w:val="23"/>
        </w:rPr>
        <w:t xml:space="preserve"> defa toplanır. Toplantı tarihi sekreterlik tarafından önceden üyelere</w:t>
      </w:r>
      <w:r>
        <w:rPr>
          <w:spacing w:val="-1"/>
          <w:sz w:val="23"/>
        </w:rPr>
        <w:t xml:space="preserve"> </w:t>
      </w:r>
      <w:r>
        <w:rPr>
          <w:sz w:val="23"/>
        </w:rPr>
        <w:t>duyurulur.</w:t>
      </w:r>
    </w:p>
    <w:p w14:paraId="61041BA6" w14:textId="77777777" w:rsidR="008E2A06" w:rsidRDefault="008E2A06" w:rsidP="000136A3">
      <w:pPr>
        <w:pStyle w:val="GvdeMetni"/>
        <w:spacing w:before="9"/>
        <w:ind w:left="0"/>
        <w:rPr>
          <w:sz w:val="22"/>
        </w:rPr>
      </w:pPr>
    </w:p>
    <w:p w14:paraId="75A5AC82" w14:textId="77777777" w:rsidR="008E2A06" w:rsidRDefault="000136A3" w:rsidP="000136A3">
      <w:pPr>
        <w:pStyle w:val="ListeParagraf"/>
        <w:numPr>
          <w:ilvl w:val="0"/>
          <w:numId w:val="2"/>
        </w:numPr>
        <w:tabs>
          <w:tab w:val="left" w:pos="470"/>
        </w:tabs>
        <w:ind w:firstLine="0"/>
        <w:jc w:val="both"/>
        <w:rPr>
          <w:sz w:val="23"/>
        </w:rPr>
      </w:pPr>
      <w:r>
        <w:rPr>
          <w:sz w:val="23"/>
        </w:rPr>
        <w:t>Etik kurul önceden ilan etmek koşulu ile yıl içerisinde 1 aylık veya daha az bir dönemi tatil ilan</w:t>
      </w:r>
      <w:r>
        <w:rPr>
          <w:spacing w:val="-4"/>
          <w:sz w:val="23"/>
        </w:rPr>
        <w:t xml:space="preserve"> </w:t>
      </w:r>
      <w:r>
        <w:rPr>
          <w:sz w:val="23"/>
        </w:rPr>
        <w:t>edebilir</w:t>
      </w:r>
    </w:p>
    <w:p w14:paraId="6FD7E512" w14:textId="77777777" w:rsidR="008E2A06" w:rsidRDefault="008E2A06" w:rsidP="000136A3">
      <w:pPr>
        <w:pStyle w:val="GvdeMetni"/>
        <w:spacing w:before="1"/>
        <w:ind w:left="0"/>
      </w:pPr>
    </w:p>
    <w:p w14:paraId="487BC878" w14:textId="77777777" w:rsidR="008E2A06" w:rsidRDefault="000136A3" w:rsidP="000136A3">
      <w:pPr>
        <w:pStyle w:val="ListeParagraf"/>
        <w:numPr>
          <w:ilvl w:val="0"/>
          <w:numId w:val="2"/>
        </w:numPr>
        <w:tabs>
          <w:tab w:val="left" w:pos="482"/>
        </w:tabs>
        <w:ind w:firstLine="0"/>
        <w:jc w:val="both"/>
        <w:rPr>
          <w:sz w:val="23"/>
        </w:rPr>
      </w:pPr>
      <w:r>
        <w:rPr>
          <w:sz w:val="23"/>
        </w:rPr>
        <w:t>Atanan üyeler, görev süreleri içinde izinsiz ve mazeretsiz olara</w:t>
      </w:r>
      <w:r>
        <w:rPr>
          <w:sz w:val="23"/>
        </w:rPr>
        <w:t>k ardışık üç toplantıya veya aralıklı olarak beş toplantıya katılmadıkları takdirde üyelikleri düşer ve aynı niteliklere sahip yeni üye en kısa zamanda atanarak göreve</w:t>
      </w:r>
      <w:r>
        <w:rPr>
          <w:spacing w:val="-3"/>
          <w:sz w:val="23"/>
        </w:rPr>
        <w:t xml:space="preserve"> </w:t>
      </w:r>
      <w:r>
        <w:rPr>
          <w:sz w:val="23"/>
        </w:rPr>
        <w:t>başlar.</w:t>
      </w:r>
    </w:p>
    <w:p w14:paraId="4FC670D8" w14:textId="77777777" w:rsidR="008E2A06" w:rsidRDefault="008E2A06" w:rsidP="000136A3">
      <w:pPr>
        <w:pStyle w:val="GvdeMetni"/>
        <w:ind w:left="0"/>
      </w:pPr>
    </w:p>
    <w:p w14:paraId="0AE3F2BA" w14:textId="77777777" w:rsidR="008E2A06" w:rsidRDefault="000136A3" w:rsidP="000136A3">
      <w:pPr>
        <w:pStyle w:val="ListeParagraf"/>
        <w:numPr>
          <w:ilvl w:val="0"/>
          <w:numId w:val="2"/>
        </w:numPr>
        <w:tabs>
          <w:tab w:val="left" w:pos="467"/>
        </w:tabs>
        <w:spacing w:before="1"/>
        <w:ind w:firstLine="0"/>
        <w:jc w:val="both"/>
        <w:rPr>
          <w:sz w:val="23"/>
        </w:rPr>
      </w:pPr>
      <w:r>
        <w:rPr>
          <w:sz w:val="23"/>
        </w:rPr>
        <w:t>Etik kurul üyeleri üye tam sayısının üçte iki çoğunluğu ile toplanır ve üye tam</w:t>
      </w:r>
      <w:r>
        <w:rPr>
          <w:sz w:val="23"/>
        </w:rPr>
        <w:t xml:space="preserve"> sayısının salt çoğunluğu ile karar verir. Oyların eşit olması durumunda Başkanın oyu</w:t>
      </w:r>
      <w:r>
        <w:rPr>
          <w:spacing w:val="-12"/>
          <w:sz w:val="23"/>
        </w:rPr>
        <w:t xml:space="preserve"> </w:t>
      </w:r>
      <w:r>
        <w:rPr>
          <w:sz w:val="23"/>
        </w:rPr>
        <w:t>belirleyicidir.</w:t>
      </w:r>
    </w:p>
    <w:p w14:paraId="65E37E65" w14:textId="77777777" w:rsidR="008E2A06" w:rsidRDefault="008E2A06" w:rsidP="000136A3">
      <w:pPr>
        <w:pStyle w:val="GvdeMetni"/>
        <w:ind w:left="0"/>
      </w:pPr>
    </w:p>
    <w:p w14:paraId="6374C4B4" w14:textId="77777777" w:rsidR="008E2A06" w:rsidRDefault="000136A3" w:rsidP="000136A3">
      <w:pPr>
        <w:pStyle w:val="ListeParagraf"/>
        <w:numPr>
          <w:ilvl w:val="0"/>
          <w:numId w:val="2"/>
        </w:numPr>
        <w:tabs>
          <w:tab w:val="left" w:pos="482"/>
        </w:tabs>
        <w:spacing w:before="1"/>
        <w:ind w:firstLine="0"/>
        <w:jc w:val="both"/>
        <w:rPr>
          <w:sz w:val="23"/>
        </w:rPr>
      </w:pPr>
      <w:r>
        <w:rPr>
          <w:sz w:val="23"/>
        </w:rPr>
        <w:t>Araştırmanın destekleyicisi ile ilişkisi olan veya incelenen araştırmada görevi bulunan Etik Kurul üyesi/üyeleri, bu araştırmanın Etik Kurul'daki tartışm</w:t>
      </w:r>
      <w:r>
        <w:rPr>
          <w:sz w:val="23"/>
        </w:rPr>
        <w:t>alarına ve oylamasına katılamaz, Etik Kurul kararını</w:t>
      </w:r>
      <w:r>
        <w:rPr>
          <w:spacing w:val="-3"/>
          <w:sz w:val="23"/>
        </w:rPr>
        <w:t xml:space="preserve"> </w:t>
      </w:r>
      <w:r>
        <w:rPr>
          <w:sz w:val="23"/>
        </w:rPr>
        <w:t>imzalayamaz.</w:t>
      </w:r>
    </w:p>
    <w:p w14:paraId="11AB0955" w14:textId="77777777" w:rsidR="008E2A06" w:rsidRDefault="008E2A06" w:rsidP="000136A3">
      <w:pPr>
        <w:pStyle w:val="GvdeMetni"/>
        <w:ind w:left="0"/>
        <w:rPr>
          <w:sz w:val="26"/>
        </w:rPr>
      </w:pPr>
    </w:p>
    <w:p w14:paraId="6991B07B" w14:textId="77777777" w:rsidR="008E2A06" w:rsidRDefault="008E2A06" w:rsidP="000136A3">
      <w:pPr>
        <w:pStyle w:val="GvdeMetni"/>
        <w:ind w:left="0"/>
        <w:rPr>
          <w:sz w:val="26"/>
        </w:rPr>
      </w:pPr>
    </w:p>
    <w:p w14:paraId="152C5E24" w14:textId="77777777" w:rsidR="008E2A06" w:rsidRDefault="000136A3" w:rsidP="000136A3">
      <w:pPr>
        <w:pStyle w:val="Balk1"/>
        <w:spacing w:before="200"/>
        <w:ind w:left="318"/>
      </w:pPr>
      <w:r>
        <w:t>DÖRDÜNCÜ BÖLÜM</w:t>
      </w:r>
    </w:p>
    <w:p w14:paraId="62243D6E" w14:textId="77777777" w:rsidR="008E2A06" w:rsidRDefault="000136A3" w:rsidP="000136A3">
      <w:pPr>
        <w:spacing w:line="264" w:lineRule="exact"/>
        <w:ind w:left="318"/>
        <w:jc w:val="center"/>
        <w:rPr>
          <w:b/>
          <w:sz w:val="23"/>
        </w:rPr>
      </w:pPr>
      <w:r>
        <w:rPr>
          <w:b/>
          <w:sz w:val="23"/>
        </w:rPr>
        <w:t>Başvuru ve Değerlendirme</w:t>
      </w:r>
    </w:p>
    <w:p w14:paraId="23558133" w14:textId="77777777" w:rsidR="008E2A06" w:rsidRDefault="008E2A06" w:rsidP="000136A3">
      <w:pPr>
        <w:pStyle w:val="GvdeMetni"/>
        <w:spacing w:before="1"/>
        <w:ind w:left="0"/>
        <w:rPr>
          <w:b/>
        </w:rPr>
      </w:pPr>
    </w:p>
    <w:p w14:paraId="224A4C02" w14:textId="77777777" w:rsidR="008E2A06" w:rsidRDefault="000136A3" w:rsidP="000136A3">
      <w:pPr>
        <w:spacing w:line="262" w:lineRule="exact"/>
        <w:ind w:left="116"/>
        <w:jc w:val="both"/>
        <w:rPr>
          <w:b/>
          <w:sz w:val="23"/>
        </w:rPr>
      </w:pPr>
      <w:r>
        <w:rPr>
          <w:b/>
          <w:sz w:val="23"/>
        </w:rPr>
        <w:t>Kurula Başvuru Şartları</w:t>
      </w:r>
    </w:p>
    <w:p w14:paraId="1752B156" w14:textId="77777777" w:rsidR="008E2A06" w:rsidRDefault="000136A3" w:rsidP="000136A3">
      <w:pPr>
        <w:pStyle w:val="GvdeMetni"/>
        <w:jc w:val="both"/>
      </w:pPr>
      <w:r>
        <w:rPr>
          <w:b/>
        </w:rPr>
        <w:t xml:space="preserve">MADDE 8- (1) </w:t>
      </w:r>
      <w:r>
        <w:t>Kuruldan yapacakları Bilimsel Araştırmalar için görüş isteyecek olan araştırmacılar, kurulca düzenlenen formları doldurarak başvuruda bulunurlar. Belirlenen formlar doldurulmadan yapılan başvurular değerlendirilmeye</w:t>
      </w:r>
      <w:r>
        <w:rPr>
          <w:spacing w:val="-2"/>
        </w:rPr>
        <w:t xml:space="preserve"> </w:t>
      </w:r>
      <w:r>
        <w:t>alınmaz.</w:t>
      </w:r>
    </w:p>
    <w:p w14:paraId="5A69E417" w14:textId="77777777" w:rsidR="008E2A06" w:rsidRDefault="000136A3" w:rsidP="000136A3">
      <w:pPr>
        <w:pStyle w:val="GvdeMetni"/>
        <w:jc w:val="both"/>
      </w:pPr>
      <w:r>
        <w:rPr>
          <w:b/>
        </w:rPr>
        <w:t xml:space="preserve">(2) </w:t>
      </w:r>
      <w:r>
        <w:t>Başvurunun toplantı gündemi</w:t>
      </w:r>
      <w:r>
        <w:t>ne alınabilmesi için başvuru dosyasının toplantı tarihinden en az beş iş günü önce Kurul Sekreterliğine teslim edilmesi</w:t>
      </w:r>
      <w:r>
        <w:rPr>
          <w:spacing w:val="-8"/>
        </w:rPr>
        <w:t xml:space="preserve"> </w:t>
      </w:r>
      <w:r>
        <w:t>gerekir.</w:t>
      </w:r>
    </w:p>
    <w:p w14:paraId="2B603ADF" w14:textId="77777777" w:rsidR="008E2A06" w:rsidRDefault="000136A3" w:rsidP="000136A3">
      <w:pPr>
        <w:pStyle w:val="Balk1"/>
        <w:spacing w:before="3" w:line="262" w:lineRule="exact"/>
        <w:jc w:val="left"/>
      </w:pPr>
      <w:r>
        <w:t>Değerlendirme</w:t>
      </w:r>
    </w:p>
    <w:p w14:paraId="25BF41CC" w14:textId="77777777" w:rsidR="008E2A06" w:rsidRDefault="000136A3" w:rsidP="000136A3">
      <w:pPr>
        <w:pStyle w:val="GvdeMetni"/>
        <w:jc w:val="both"/>
      </w:pPr>
      <w:r>
        <w:rPr>
          <w:b/>
        </w:rPr>
        <w:t xml:space="preserve">MADDE 9- (1) </w:t>
      </w:r>
      <w:r>
        <w:t xml:space="preserve">Kurul düzenleme/düzeltme gerektirmeyen başvuruları bir ay içinde değerlendirmek ve sonucu gerekçeli </w:t>
      </w:r>
      <w:r>
        <w:t>ve yazılı olarak bildirmek durumundadır. Kurul araştırmayla ilgili eksik ve /veya hatalı bulduğu konuları resmi yazı ile araştırıcıya bildirir. Kurul tarafından istenilen düzenleme/düzeltmelerin bildirilmesinden itibaren üç ay içinde araştırıcı gerekli düz</w:t>
      </w:r>
      <w:r>
        <w:t>eltmeleri yapmadığı takdirde başvurusu geçersiz sayılır.</w:t>
      </w:r>
    </w:p>
    <w:p w14:paraId="354BFF35" w14:textId="77777777" w:rsidR="008E2A06" w:rsidRDefault="008E2A06" w:rsidP="000136A3">
      <w:pPr>
        <w:jc w:val="both"/>
        <w:sectPr w:rsidR="008E2A06" w:rsidSect="000136A3">
          <w:pgSz w:w="11910" w:h="16840"/>
          <w:pgMar w:top="1320" w:right="853" w:bottom="280" w:left="1300" w:header="708" w:footer="708" w:gutter="0"/>
          <w:cols w:space="708"/>
        </w:sectPr>
      </w:pPr>
    </w:p>
    <w:p w14:paraId="3F8A74C3" w14:textId="77777777" w:rsidR="008E2A06" w:rsidRDefault="000136A3" w:rsidP="000136A3">
      <w:pPr>
        <w:pStyle w:val="ListeParagraf"/>
        <w:numPr>
          <w:ilvl w:val="0"/>
          <w:numId w:val="1"/>
        </w:numPr>
        <w:tabs>
          <w:tab w:val="left" w:pos="482"/>
        </w:tabs>
        <w:spacing w:before="88"/>
        <w:ind w:firstLine="0"/>
        <w:jc w:val="both"/>
        <w:rPr>
          <w:sz w:val="23"/>
        </w:rPr>
      </w:pPr>
      <w:r>
        <w:rPr>
          <w:sz w:val="23"/>
        </w:rPr>
        <w:lastRenderedPageBreak/>
        <w:t>Etik kurulun inceleme süreci içerisinde ek bilgi ve açıklamalara ihtiyaç duyulması halinde, gerekli olan tüm istekler tek bir seferde başvuru sahibine iletilir. Başvuru sahibinden ikinc</w:t>
      </w:r>
      <w:r>
        <w:rPr>
          <w:sz w:val="23"/>
        </w:rPr>
        <w:t>i bir kez istekte bulunulmaz. İstenilen bilgi ve belgeler etik kurula sunuluncaya kadar inceleme süreci durdurulur.</w:t>
      </w:r>
    </w:p>
    <w:p w14:paraId="3DAE34E2" w14:textId="77777777" w:rsidR="008E2A06" w:rsidRDefault="008E2A06" w:rsidP="000136A3">
      <w:pPr>
        <w:pStyle w:val="GvdeMetni"/>
        <w:spacing w:before="2"/>
        <w:ind w:left="0"/>
      </w:pPr>
    </w:p>
    <w:p w14:paraId="5F2F85FC" w14:textId="77777777" w:rsidR="008E2A06" w:rsidRDefault="000136A3" w:rsidP="000136A3">
      <w:pPr>
        <w:pStyle w:val="ListeParagraf"/>
        <w:numPr>
          <w:ilvl w:val="0"/>
          <w:numId w:val="1"/>
        </w:numPr>
        <w:tabs>
          <w:tab w:val="left" w:pos="455"/>
        </w:tabs>
        <w:ind w:firstLine="0"/>
        <w:jc w:val="both"/>
        <w:rPr>
          <w:sz w:val="23"/>
        </w:rPr>
      </w:pPr>
      <w:r>
        <w:rPr>
          <w:sz w:val="23"/>
        </w:rPr>
        <w:t>Kurul gerekli gördüğü durumlarda, araştırıcıları dinlemek ve bilgi almak amacıyla toplantılara davet edebilir veya incelediği dosyalarla il</w:t>
      </w:r>
      <w:r>
        <w:rPr>
          <w:sz w:val="23"/>
        </w:rPr>
        <w:t>gili olarak çalışmanın kabul edilen metoda uygun olarak yürütülüp yürütülmediğini yerinde inceleyip, uygun gördüğü üyeler dışında uzman bilirkişi görüşüne</w:t>
      </w:r>
      <w:r>
        <w:rPr>
          <w:spacing w:val="-1"/>
          <w:sz w:val="23"/>
        </w:rPr>
        <w:t xml:space="preserve"> </w:t>
      </w:r>
      <w:r>
        <w:rPr>
          <w:sz w:val="23"/>
        </w:rPr>
        <w:t>başvurabilir.</w:t>
      </w:r>
    </w:p>
    <w:p w14:paraId="3D34041E" w14:textId="77777777" w:rsidR="008E2A06" w:rsidRDefault="008E2A06" w:rsidP="000136A3">
      <w:pPr>
        <w:pStyle w:val="GvdeMetni"/>
        <w:ind w:left="0"/>
      </w:pPr>
    </w:p>
    <w:p w14:paraId="0F8EB823" w14:textId="77777777" w:rsidR="008E2A06" w:rsidRDefault="000136A3" w:rsidP="000136A3">
      <w:pPr>
        <w:pStyle w:val="ListeParagraf"/>
        <w:numPr>
          <w:ilvl w:val="0"/>
          <w:numId w:val="1"/>
        </w:numPr>
        <w:tabs>
          <w:tab w:val="left" w:pos="515"/>
        </w:tabs>
        <w:ind w:firstLine="0"/>
        <w:jc w:val="both"/>
        <w:rPr>
          <w:sz w:val="23"/>
        </w:rPr>
      </w:pPr>
      <w:r>
        <w:rPr>
          <w:sz w:val="23"/>
        </w:rPr>
        <w:t>Kurul gerekli gördüğü durumlarda sürmekte olan çalışmaları yerinde inceleyip, yeniden değerlendirebilir. Gönüllü güvenliğini tehdit eden durumlarda araştırmanın durdurulmasını isteyebilir ve yetkili kuruluşlara durumu</w:t>
      </w:r>
      <w:r>
        <w:rPr>
          <w:spacing w:val="-2"/>
          <w:sz w:val="23"/>
        </w:rPr>
        <w:t xml:space="preserve"> </w:t>
      </w:r>
      <w:r>
        <w:rPr>
          <w:sz w:val="23"/>
        </w:rPr>
        <w:t>bildirir.</w:t>
      </w:r>
    </w:p>
    <w:p w14:paraId="713AC3E5" w14:textId="77777777" w:rsidR="008E2A06" w:rsidRDefault="008E2A06" w:rsidP="000136A3">
      <w:pPr>
        <w:pStyle w:val="GvdeMetni"/>
        <w:spacing w:before="1"/>
        <w:ind w:left="0"/>
      </w:pPr>
    </w:p>
    <w:p w14:paraId="767A1655" w14:textId="77777777" w:rsidR="008E2A06" w:rsidRDefault="000136A3" w:rsidP="000136A3">
      <w:pPr>
        <w:pStyle w:val="GvdeMetni"/>
        <w:jc w:val="both"/>
      </w:pPr>
      <w:r>
        <w:t>Kurul yapacağı değerlendirm</w:t>
      </w:r>
      <w:r>
        <w:t xml:space="preserve">elerde; Helsinki Bildirgesinin son </w:t>
      </w:r>
      <w:proofErr w:type="gramStart"/>
      <w:r>
        <w:t>versiyonu;</w:t>
      </w:r>
      <w:proofErr w:type="gramEnd"/>
      <w:r>
        <w:t xml:space="preserve"> yürürlükte olan İyi Klinik Uygulamaları (İKU) Kılavuzu; İyi Laboratuvar Uygulamaları (ILU) Kılavuzu ve 1 Ağustos 1998 gün ve 2420 sayılı Resmi Gazetede yayımlanan Hasta Hakları Yönetmeliğindeki esasları dikkate</w:t>
      </w:r>
      <w:r>
        <w:t xml:space="preserve"> alır.</w:t>
      </w:r>
    </w:p>
    <w:p w14:paraId="44B7BBAE" w14:textId="77777777" w:rsidR="008E2A06" w:rsidRDefault="008E2A06" w:rsidP="000136A3">
      <w:pPr>
        <w:pStyle w:val="GvdeMetni"/>
        <w:ind w:left="0"/>
        <w:rPr>
          <w:sz w:val="26"/>
        </w:rPr>
      </w:pPr>
    </w:p>
    <w:p w14:paraId="57A7E557" w14:textId="77777777" w:rsidR="008E2A06" w:rsidRDefault="008E2A06" w:rsidP="000136A3">
      <w:pPr>
        <w:pStyle w:val="GvdeMetni"/>
        <w:spacing w:before="4"/>
        <w:ind w:left="0"/>
        <w:rPr>
          <w:sz w:val="20"/>
        </w:rPr>
      </w:pPr>
    </w:p>
    <w:p w14:paraId="5F16205B" w14:textId="77777777" w:rsidR="008E2A06" w:rsidRDefault="000136A3" w:rsidP="000136A3">
      <w:pPr>
        <w:pStyle w:val="Balk1"/>
        <w:spacing w:before="1"/>
        <w:ind w:left="318"/>
      </w:pPr>
      <w:r>
        <w:t>BEŞİNCİ BÖLÜM</w:t>
      </w:r>
    </w:p>
    <w:p w14:paraId="6EE43685" w14:textId="77777777" w:rsidR="008E2A06" w:rsidRDefault="000136A3" w:rsidP="000136A3">
      <w:pPr>
        <w:spacing w:line="264" w:lineRule="exact"/>
        <w:ind w:left="318"/>
        <w:jc w:val="center"/>
        <w:rPr>
          <w:b/>
          <w:sz w:val="23"/>
        </w:rPr>
      </w:pPr>
      <w:r>
        <w:rPr>
          <w:b/>
          <w:sz w:val="23"/>
        </w:rPr>
        <w:t>Diğer Hükümler</w:t>
      </w:r>
    </w:p>
    <w:p w14:paraId="440C88FF" w14:textId="77777777" w:rsidR="008E2A06" w:rsidRDefault="008E2A06" w:rsidP="000136A3">
      <w:pPr>
        <w:pStyle w:val="GvdeMetni"/>
        <w:spacing w:before="10"/>
        <w:ind w:left="0"/>
        <w:rPr>
          <w:b/>
          <w:sz w:val="22"/>
        </w:rPr>
      </w:pPr>
    </w:p>
    <w:p w14:paraId="2FF08211" w14:textId="77777777" w:rsidR="008E2A06" w:rsidRDefault="000136A3" w:rsidP="000136A3">
      <w:pPr>
        <w:spacing w:line="263" w:lineRule="exact"/>
        <w:ind w:left="116"/>
        <w:jc w:val="both"/>
        <w:rPr>
          <w:b/>
          <w:sz w:val="23"/>
        </w:rPr>
      </w:pPr>
      <w:r>
        <w:rPr>
          <w:b/>
          <w:sz w:val="23"/>
        </w:rPr>
        <w:t>Kurul Sekreterliği</w:t>
      </w:r>
    </w:p>
    <w:p w14:paraId="38BAA170" w14:textId="77777777" w:rsidR="008E2A06" w:rsidRDefault="000136A3" w:rsidP="000136A3">
      <w:pPr>
        <w:pStyle w:val="GvdeMetni"/>
        <w:jc w:val="both"/>
      </w:pPr>
      <w:r>
        <w:rPr>
          <w:b/>
        </w:rPr>
        <w:t xml:space="preserve">MADDE 10- (1) </w:t>
      </w:r>
      <w:r>
        <w:t>Kurulun her türlü yazışma işleri, Kurul Sekreterliği tarafından yürütülür. Kurula yapılan başvuruların teslim alınması, araştırıcıların bilgilendirilmesi, Kurulun toplantı gündeminin v</w:t>
      </w:r>
      <w:r>
        <w:t>e kararların yazılması, üyelere ve araştırıcılara bildirilmesi, belgelerin arşivlenmesi ve her türlü yazışma sekreterin görevidir.</w:t>
      </w:r>
    </w:p>
    <w:p w14:paraId="6AD028AA" w14:textId="77777777" w:rsidR="008E2A06" w:rsidRDefault="000136A3" w:rsidP="000136A3">
      <w:pPr>
        <w:pStyle w:val="GvdeMetni"/>
        <w:jc w:val="both"/>
      </w:pPr>
      <w:r>
        <w:rPr>
          <w:b/>
        </w:rPr>
        <w:t xml:space="preserve">(2) </w:t>
      </w:r>
      <w:r>
        <w:t>Kurulun hizmetlerinin yürütülmesi için gizlilik esaslarına uygun fiziki ortam, arşiv birimi ve bilişim malzemesi Dekanlık</w:t>
      </w:r>
      <w:r>
        <w:t xml:space="preserve"> tarafından sağlanır.</w:t>
      </w:r>
    </w:p>
    <w:p w14:paraId="4EB4FFF0" w14:textId="77777777" w:rsidR="008E2A06" w:rsidRDefault="000136A3" w:rsidP="000136A3">
      <w:pPr>
        <w:pStyle w:val="Balk1"/>
        <w:spacing w:before="3" w:line="262" w:lineRule="exact"/>
        <w:jc w:val="left"/>
      </w:pPr>
      <w:r>
        <w:t>Yürürlük</w:t>
      </w:r>
    </w:p>
    <w:p w14:paraId="10CB6F89" w14:textId="4F4BF021" w:rsidR="008E2A06" w:rsidRDefault="000136A3" w:rsidP="000136A3">
      <w:pPr>
        <w:pStyle w:val="GvdeMetni"/>
      </w:pPr>
      <w:r>
        <w:rPr>
          <w:b/>
        </w:rPr>
        <w:t xml:space="preserve">MADDE 11- </w:t>
      </w:r>
      <w:r>
        <w:t xml:space="preserve">Bu yönerge Tekirdağ </w:t>
      </w:r>
      <w:r>
        <w:t>Namık Kemal Üniversitesi Senatosu tarafından onaylandıktan sonra yürürlüğe girer.</w:t>
      </w:r>
    </w:p>
    <w:p w14:paraId="678289F9" w14:textId="77777777" w:rsidR="008E2A06" w:rsidRDefault="000136A3" w:rsidP="000136A3">
      <w:pPr>
        <w:pStyle w:val="Balk1"/>
        <w:spacing w:before="1" w:line="263" w:lineRule="exact"/>
        <w:jc w:val="left"/>
      </w:pPr>
      <w:r>
        <w:t>Yürütme</w:t>
      </w:r>
    </w:p>
    <w:p w14:paraId="15F3FFEF" w14:textId="0A0B05C4" w:rsidR="008E2A06" w:rsidRDefault="000136A3" w:rsidP="000136A3">
      <w:pPr>
        <w:spacing w:line="275" w:lineRule="exact"/>
        <w:ind w:left="116"/>
        <w:rPr>
          <w:sz w:val="24"/>
        </w:rPr>
      </w:pPr>
      <w:r>
        <w:rPr>
          <w:b/>
          <w:sz w:val="24"/>
        </w:rPr>
        <w:t xml:space="preserve">MADDE 12- </w:t>
      </w:r>
      <w:r>
        <w:rPr>
          <w:sz w:val="24"/>
        </w:rPr>
        <w:t xml:space="preserve">Bu yönerge Tekirdağ </w:t>
      </w:r>
      <w:r>
        <w:rPr>
          <w:sz w:val="24"/>
        </w:rPr>
        <w:t>Namık Kemal Üniversitesi Rektörü tarafından yürütülür</w:t>
      </w:r>
    </w:p>
    <w:p w14:paraId="6E21570A" w14:textId="101515AB" w:rsidR="000136A3" w:rsidRDefault="000136A3" w:rsidP="000136A3">
      <w:pPr>
        <w:spacing w:line="275" w:lineRule="exact"/>
        <w:ind w:left="116"/>
        <w:rPr>
          <w:sz w:val="24"/>
        </w:rPr>
      </w:pPr>
    </w:p>
    <w:p w14:paraId="13ECFE7E" w14:textId="05EBD230" w:rsidR="000136A3" w:rsidRDefault="000136A3" w:rsidP="000136A3">
      <w:pPr>
        <w:spacing w:line="275" w:lineRule="exact"/>
        <w:ind w:left="116"/>
        <w:rPr>
          <w:sz w:val="24"/>
        </w:rPr>
      </w:pPr>
    </w:p>
    <w:p w14:paraId="42EB2792" w14:textId="5259E55A" w:rsidR="000136A3" w:rsidRDefault="000136A3" w:rsidP="000136A3">
      <w:pPr>
        <w:spacing w:line="275" w:lineRule="exact"/>
        <w:ind w:left="116"/>
        <w:rPr>
          <w:sz w:val="24"/>
        </w:rPr>
      </w:pPr>
    </w:p>
    <w:p w14:paraId="5DC09B50" w14:textId="7C704D17" w:rsidR="000136A3" w:rsidRDefault="000136A3" w:rsidP="000136A3">
      <w:pPr>
        <w:spacing w:line="275" w:lineRule="exact"/>
        <w:ind w:left="116"/>
        <w:rPr>
          <w:sz w:val="24"/>
        </w:rPr>
      </w:pPr>
      <w:r>
        <w:rPr>
          <w:sz w:val="24"/>
        </w:rPr>
        <w:t>*Yürürlük Tarihi: 08.10.2012</w:t>
      </w:r>
    </w:p>
    <w:p w14:paraId="5C522DC9" w14:textId="395D05AC" w:rsidR="000136A3" w:rsidRDefault="000136A3" w:rsidP="000136A3">
      <w:pPr>
        <w:spacing w:line="275" w:lineRule="exact"/>
        <w:ind w:left="116"/>
        <w:rPr>
          <w:sz w:val="24"/>
        </w:rPr>
      </w:pPr>
      <w:r>
        <w:rPr>
          <w:sz w:val="24"/>
        </w:rPr>
        <w:t>*İlgili Birim: Tıp Fakültesi</w:t>
      </w:r>
    </w:p>
    <w:sectPr w:rsidR="000136A3" w:rsidSect="000136A3">
      <w:pgSz w:w="11910" w:h="16840"/>
      <w:pgMar w:top="1580" w:right="853"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11B"/>
    <w:multiLevelType w:val="hybridMultilevel"/>
    <w:tmpl w:val="3C10C08C"/>
    <w:lvl w:ilvl="0" w:tplc="6CBABDF8">
      <w:start w:val="2"/>
      <w:numFmt w:val="decimal"/>
      <w:lvlText w:val="(%1)"/>
      <w:lvlJc w:val="left"/>
      <w:pPr>
        <w:ind w:left="116" w:hanging="365"/>
        <w:jc w:val="left"/>
      </w:pPr>
      <w:rPr>
        <w:rFonts w:ascii="Times New Roman" w:eastAsia="Times New Roman" w:hAnsi="Times New Roman" w:cs="Times New Roman" w:hint="default"/>
        <w:b/>
        <w:bCs/>
        <w:w w:val="100"/>
        <w:sz w:val="23"/>
        <w:szCs w:val="23"/>
        <w:lang w:val="tr-TR" w:eastAsia="tr-TR" w:bidi="tr-TR"/>
      </w:rPr>
    </w:lvl>
    <w:lvl w:ilvl="1" w:tplc="82B26078">
      <w:numFmt w:val="bullet"/>
      <w:lvlText w:val="•"/>
      <w:lvlJc w:val="left"/>
      <w:pPr>
        <w:ind w:left="1038" w:hanging="365"/>
      </w:pPr>
      <w:rPr>
        <w:rFonts w:hint="default"/>
        <w:lang w:val="tr-TR" w:eastAsia="tr-TR" w:bidi="tr-TR"/>
      </w:rPr>
    </w:lvl>
    <w:lvl w:ilvl="2" w:tplc="4DF66ECA">
      <w:numFmt w:val="bullet"/>
      <w:lvlText w:val="•"/>
      <w:lvlJc w:val="left"/>
      <w:pPr>
        <w:ind w:left="1957" w:hanging="365"/>
      </w:pPr>
      <w:rPr>
        <w:rFonts w:hint="default"/>
        <w:lang w:val="tr-TR" w:eastAsia="tr-TR" w:bidi="tr-TR"/>
      </w:rPr>
    </w:lvl>
    <w:lvl w:ilvl="3" w:tplc="CD664FEC">
      <w:numFmt w:val="bullet"/>
      <w:lvlText w:val="•"/>
      <w:lvlJc w:val="left"/>
      <w:pPr>
        <w:ind w:left="2875" w:hanging="365"/>
      </w:pPr>
      <w:rPr>
        <w:rFonts w:hint="default"/>
        <w:lang w:val="tr-TR" w:eastAsia="tr-TR" w:bidi="tr-TR"/>
      </w:rPr>
    </w:lvl>
    <w:lvl w:ilvl="4" w:tplc="A14083B2">
      <w:numFmt w:val="bullet"/>
      <w:lvlText w:val="•"/>
      <w:lvlJc w:val="left"/>
      <w:pPr>
        <w:ind w:left="3794" w:hanging="365"/>
      </w:pPr>
      <w:rPr>
        <w:rFonts w:hint="default"/>
        <w:lang w:val="tr-TR" w:eastAsia="tr-TR" w:bidi="tr-TR"/>
      </w:rPr>
    </w:lvl>
    <w:lvl w:ilvl="5" w:tplc="C6CAA8BC">
      <w:numFmt w:val="bullet"/>
      <w:lvlText w:val="•"/>
      <w:lvlJc w:val="left"/>
      <w:pPr>
        <w:ind w:left="4713" w:hanging="365"/>
      </w:pPr>
      <w:rPr>
        <w:rFonts w:hint="default"/>
        <w:lang w:val="tr-TR" w:eastAsia="tr-TR" w:bidi="tr-TR"/>
      </w:rPr>
    </w:lvl>
    <w:lvl w:ilvl="6" w:tplc="B55CFB78">
      <w:numFmt w:val="bullet"/>
      <w:lvlText w:val="•"/>
      <w:lvlJc w:val="left"/>
      <w:pPr>
        <w:ind w:left="5631" w:hanging="365"/>
      </w:pPr>
      <w:rPr>
        <w:rFonts w:hint="default"/>
        <w:lang w:val="tr-TR" w:eastAsia="tr-TR" w:bidi="tr-TR"/>
      </w:rPr>
    </w:lvl>
    <w:lvl w:ilvl="7" w:tplc="D2BE78AC">
      <w:numFmt w:val="bullet"/>
      <w:lvlText w:val="•"/>
      <w:lvlJc w:val="left"/>
      <w:pPr>
        <w:ind w:left="6550" w:hanging="365"/>
      </w:pPr>
      <w:rPr>
        <w:rFonts w:hint="default"/>
        <w:lang w:val="tr-TR" w:eastAsia="tr-TR" w:bidi="tr-TR"/>
      </w:rPr>
    </w:lvl>
    <w:lvl w:ilvl="8" w:tplc="BDEEDCA8">
      <w:numFmt w:val="bullet"/>
      <w:lvlText w:val="•"/>
      <w:lvlJc w:val="left"/>
      <w:pPr>
        <w:ind w:left="7469" w:hanging="365"/>
      </w:pPr>
      <w:rPr>
        <w:rFonts w:hint="default"/>
        <w:lang w:val="tr-TR" w:eastAsia="tr-TR" w:bidi="tr-TR"/>
      </w:rPr>
    </w:lvl>
  </w:abstractNum>
  <w:abstractNum w:abstractNumId="1" w15:restartNumberingAfterBreak="0">
    <w:nsid w:val="401067CF"/>
    <w:multiLevelType w:val="hybridMultilevel"/>
    <w:tmpl w:val="624A3284"/>
    <w:lvl w:ilvl="0" w:tplc="6DB8B816">
      <w:start w:val="1"/>
      <w:numFmt w:val="lowerLetter"/>
      <w:lvlText w:val="%1)"/>
      <w:lvlJc w:val="left"/>
      <w:pPr>
        <w:ind w:left="116" w:hanging="269"/>
        <w:jc w:val="left"/>
      </w:pPr>
      <w:rPr>
        <w:rFonts w:hint="default"/>
        <w:b/>
        <w:bCs/>
        <w:spacing w:val="0"/>
        <w:w w:val="99"/>
        <w:lang w:val="tr-TR" w:eastAsia="tr-TR" w:bidi="tr-TR"/>
      </w:rPr>
    </w:lvl>
    <w:lvl w:ilvl="1" w:tplc="D4D0EE0C">
      <w:numFmt w:val="bullet"/>
      <w:lvlText w:val="•"/>
      <w:lvlJc w:val="left"/>
      <w:pPr>
        <w:ind w:left="1038" w:hanging="269"/>
      </w:pPr>
      <w:rPr>
        <w:rFonts w:hint="default"/>
        <w:lang w:val="tr-TR" w:eastAsia="tr-TR" w:bidi="tr-TR"/>
      </w:rPr>
    </w:lvl>
    <w:lvl w:ilvl="2" w:tplc="C40CB9D0">
      <w:numFmt w:val="bullet"/>
      <w:lvlText w:val="•"/>
      <w:lvlJc w:val="left"/>
      <w:pPr>
        <w:ind w:left="1957" w:hanging="269"/>
      </w:pPr>
      <w:rPr>
        <w:rFonts w:hint="default"/>
        <w:lang w:val="tr-TR" w:eastAsia="tr-TR" w:bidi="tr-TR"/>
      </w:rPr>
    </w:lvl>
    <w:lvl w:ilvl="3" w:tplc="D26AB7B8">
      <w:numFmt w:val="bullet"/>
      <w:lvlText w:val="•"/>
      <w:lvlJc w:val="left"/>
      <w:pPr>
        <w:ind w:left="2875" w:hanging="269"/>
      </w:pPr>
      <w:rPr>
        <w:rFonts w:hint="default"/>
        <w:lang w:val="tr-TR" w:eastAsia="tr-TR" w:bidi="tr-TR"/>
      </w:rPr>
    </w:lvl>
    <w:lvl w:ilvl="4" w:tplc="89D64A08">
      <w:numFmt w:val="bullet"/>
      <w:lvlText w:val="•"/>
      <w:lvlJc w:val="left"/>
      <w:pPr>
        <w:ind w:left="3794" w:hanging="269"/>
      </w:pPr>
      <w:rPr>
        <w:rFonts w:hint="default"/>
        <w:lang w:val="tr-TR" w:eastAsia="tr-TR" w:bidi="tr-TR"/>
      </w:rPr>
    </w:lvl>
    <w:lvl w:ilvl="5" w:tplc="8CC6EEFA">
      <w:numFmt w:val="bullet"/>
      <w:lvlText w:val="•"/>
      <w:lvlJc w:val="left"/>
      <w:pPr>
        <w:ind w:left="4713" w:hanging="269"/>
      </w:pPr>
      <w:rPr>
        <w:rFonts w:hint="default"/>
        <w:lang w:val="tr-TR" w:eastAsia="tr-TR" w:bidi="tr-TR"/>
      </w:rPr>
    </w:lvl>
    <w:lvl w:ilvl="6" w:tplc="7F9AD9C4">
      <w:numFmt w:val="bullet"/>
      <w:lvlText w:val="•"/>
      <w:lvlJc w:val="left"/>
      <w:pPr>
        <w:ind w:left="5631" w:hanging="269"/>
      </w:pPr>
      <w:rPr>
        <w:rFonts w:hint="default"/>
        <w:lang w:val="tr-TR" w:eastAsia="tr-TR" w:bidi="tr-TR"/>
      </w:rPr>
    </w:lvl>
    <w:lvl w:ilvl="7" w:tplc="E1F4CE30">
      <w:numFmt w:val="bullet"/>
      <w:lvlText w:val="•"/>
      <w:lvlJc w:val="left"/>
      <w:pPr>
        <w:ind w:left="6550" w:hanging="269"/>
      </w:pPr>
      <w:rPr>
        <w:rFonts w:hint="default"/>
        <w:lang w:val="tr-TR" w:eastAsia="tr-TR" w:bidi="tr-TR"/>
      </w:rPr>
    </w:lvl>
    <w:lvl w:ilvl="8" w:tplc="8610BADA">
      <w:numFmt w:val="bullet"/>
      <w:lvlText w:val="•"/>
      <w:lvlJc w:val="left"/>
      <w:pPr>
        <w:ind w:left="7469" w:hanging="269"/>
      </w:pPr>
      <w:rPr>
        <w:rFonts w:hint="default"/>
        <w:lang w:val="tr-TR" w:eastAsia="tr-TR" w:bidi="tr-TR"/>
      </w:rPr>
    </w:lvl>
  </w:abstractNum>
  <w:abstractNum w:abstractNumId="2" w15:restartNumberingAfterBreak="0">
    <w:nsid w:val="536A59C1"/>
    <w:multiLevelType w:val="hybridMultilevel"/>
    <w:tmpl w:val="2C68F98A"/>
    <w:lvl w:ilvl="0" w:tplc="CEC87B12">
      <w:start w:val="1"/>
      <w:numFmt w:val="lowerLetter"/>
      <w:lvlText w:val="%1)"/>
      <w:lvlJc w:val="left"/>
      <w:pPr>
        <w:ind w:left="334" w:hanging="219"/>
        <w:jc w:val="left"/>
      </w:pPr>
      <w:rPr>
        <w:rFonts w:hint="default"/>
        <w:b/>
        <w:bCs/>
        <w:spacing w:val="0"/>
        <w:w w:val="99"/>
        <w:lang w:val="tr-TR" w:eastAsia="tr-TR" w:bidi="tr-TR"/>
      </w:rPr>
    </w:lvl>
    <w:lvl w:ilvl="1" w:tplc="F7A2A984">
      <w:numFmt w:val="bullet"/>
      <w:lvlText w:val="•"/>
      <w:lvlJc w:val="left"/>
      <w:pPr>
        <w:ind w:left="1236" w:hanging="219"/>
      </w:pPr>
      <w:rPr>
        <w:rFonts w:hint="default"/>
        <w:lang w:val="tr-TR" w:eastAsia="tr-TR" w:bidi="tr-TR"/>
      </w:rPr>
    </w:lvl>
    <w:lvl w:ilvl="2" w:tplc="A6769512">
      <w:numFmt w:val="bullet"/>
      <w:lvlText w:val="•"/>
      <w:lvlJc w:val="left"/>
      <w:pPr>
        <w:ind w:left="2133" w:hanging="219"/>
      </w:pPr>
      <w:rPr>
        <w:rFonts w:hint="default"/>
        <w:lang w:val="tr-TR" w:eastAsia="tr-TR" w:bidi="tr-TR"/>
      </w:rPr>
    </w:lvl>
    <w:lvl w:ilvl="3" w:tplc="6AF22082">
      <w:numFmt w:val="bullet"/>
      <w:lvlText w:val="•"/>
      <w:lvlJc w:val="left"/>
      <w:pPr>
        <w:ind w:left="3029" w:hanging="219"/>
      </w:pPr>
      <w:rPr>
        <w:rFonts w:hint="default"/>
        <w:lang w:val="tr-TR" w:eastAsia="tr-TR" w:bidi="tr-TR"/>
      </w:rPr>
    </w:lvl>
    <w:lvl w:ilvl="4" w:tplc="9F9801C4">
      <w:numFmt w:val="bullet"/>
      <w:lvlText w:val="•"/>
      <w:lvlJc w:val="left"/>
      <w:pPr>
        <w:ind w:left="3926" w:hanging="219"/>
      </w:pPr>
      <w:rPr>
        <w:rFonts w:hint="default"/>
        <w:lang w:val="tr-TR" w:eastAsia="tr-TR" w:bidi="tr-TR"/>
      </w:rPr>
    </w:lvl>
    <w:lvl w:ilvl="5" w:tplc="0EA88780">
      <w:numFmt w:val="bullet"/>
      <w:lvlText w:val="•"/>
      <w:lvlJc w:val="left"/>
      <w:pPr>
        <w:ind w:left="4823" w:hanging="219"/>
      </w:pPr>
      <w:rPr>
        <w:rFonts w:hint="default"/>
        <w:lang w:val="tr-TR" w:eastAsia="tr-TR" w:bidi="tr-TR"/>
      </w:rPr>
    </w:lvl>
    <w:lvl w:ilvl="6" w:tplc="A1AA7D80">
      <w:numFmt w:val="bullet"/>
      <w:lvlText w:val="•"/>
      <w:lvlJc w:val="left"/>
      <w:pPr>
        <w:ind w:left="5719" w:hanging="219"/>
      </w:pPr>
      <w:rPr>
        <w:rFonts w:hint="default"/>
        <w:lang w:val="tr-TR" w:eastAsia="tr-TR" w:bidi="tr-TR"/>
      </w:rPr>
    </w:lvl>
    <w:lvl w:ilvl="7" w:tplc="02084FDE">
      <w:numFmt w:val="bullet"/>
      <w:lvlText w:val="•"/>
      <w:lvlJc w:val="left"/>
      <w:pPr>
        <w:ind w:left="6616" w:hanging="219"/>
      </w:pPr>
      <w:rPr>
        <w:rFonts w:hint="default"/>
        <w:lang w:val="tr-TR" w:eastAsia="tr-TR" w:bidi="tr-TR"/>
      </w:rPr>
    </w:lvl>
    <w:lvl w:ilvl="8" w:tplc="50344E30">
      <w:numFmt w:val="bullet"/>
      <w:lvlText w:val="•"/>
      <w:lvlJc w:val="left"/>
      <w:pPr>
        <w:ind w:left="7513" w:hanging="219"/>
      </w:pPr>
      <w:rPr>
        <w:rFonts w:hint="default"/>
        <w:lang w:val="tr-TR" w:eastAsia="tr-TR" w:bidi="tr-TR"/>
      </w:rPr>
    </w:lvl>
  </w:abstractNum>
  <w:abstractNum w:abstractNumId="3" w15:restartNumberingAfterBreak="0">
    <w:nsid w:val="5D5137BE"/>
    <w:multiLevelType w:val="hybridMultilevel"/>
    <w:tmpl w:val="7420619C"/>
    <w:lvl w:ilvl="0" w:tplc="12164254">
      <w:start w:val="2"/>
      <w:numFmt w:val="decimal"/>
      <w:lvlText w:val="(%1)"/>
      <w:lvlJc w:val="left"/>
      <w:pPr>
        <w:ind w:left="116" w:hanging="353"/>
        <w:jc w:val="left"/>
      </w:pPr>
      <w:rPr>
        <w:rFonts w:ascii="Times New Roman" w:eastAsia="Times New Roman" w:hAnsi="Times New Roman" w:cs="Times New Roman" w:hint="default"/>
        <w:b/>
        <w:bCs/>
        <w:w w:val="100"/>
        <w:sz w:val="23"/>
        <w:szCs w:val="23"/>
        <w:lang w:val="tr-TR" w:eastAsia="tr-TR" w:bidi="tr-TR"/>
      </w:rPr>
    </w:lvl>
    <w:lvl w:ilvl="1" w:tplc="FE8CE9A8">
      <w:numFmt w:val="bullet"/>
      <w:lvlText w:val="•"/>
      <w:lvlJc w:val="left"/>
      <w:pPr>
        <w:ind w:left="1038" w:hanging="353"/>
      </w:pPr>
      <w:rPr>
        <w:rFonts w:hint="default"/>
        <w:lang w:val="tr-TR" w:eastAsia="tr-TR" w:bidi="tr-TR"/>
      </w:rPr>
    </w:lvl>
    <w:lvl w:ilvl="2" w:tplc="68946D8E">
      <w:numFmt w:val="bullet"/>
      <w:lvlText w:val="•"/>
      <w:lvlJc w:val="left"/>
      <w:pPr>
        <w:ind w:left="1957" w:hanging="353"/>
      </w:pPr>
      <w:rPr>
        <w:rFonts w:hint="default"/>
        <w:lang w:val="tr-TR" w:eastAsia="tr-TR" w:bidi="tr-TR"/>
      </w:rPr>
    </w:lvl>
    <w:lvl w:ilvl="3" w:tplc="615A1746">
      <w:numFmt w:val="bullet"/>
      <w:lvlText w:val="•"/>
      <w:lvlJc w:val="left"/>
      <w:pPr>
        <w:ind w:left="2875" w:hanging="353"/>
      </w:pPr>
      <w:rPr>
        <w:rFonts w:hint="default"/>
        <w:lang w:val="tr-TR" w:eastAsia="tr-TR" w:bidi="tr-TR"/>
      </w:rPr>
    </w:lvl>
    <w:lvl w:ilvl="4" w:tplc="49080848">
      <w:numFmt w:val="bullet"/>
      <w:lvlText w:val="•"/>
      <w:lvlJc w:val="left"/>
      <w:pPr>
        <w:ind w:left="3794" w:hanging="353"/>
      </w:pPr>
      <w:rPr>
        <w:rFonts w:hint="default"/>
        <w:lang w:val="tr-TR" w:eastAsia="tr-TR" w:bidi="tr-TR"/>
      </w:rPr>
    </w:lvl>
    <w:lvl w:ilvl="5" w:tplc="2CD43456">
      <w:numFmt w:val="bullet"/>
      <w:lvlText w:val="•"/>
      <w:lvlJc w:val="left"/>
      <w:pPr>
        <w:ind w:left="4713" w:hanging="353"/>
      </w:pPr>
      <w:rPr>
        <w:rFonts w:hint="default"/>
        <w:lang w:val="tr-TR" w:eastAsia="tr-TR" w:bidi="tr-TR"/>
      </w:rPr>
    </w:lvl>
    <w:lvl w:ilvl="6" w:tplc="4DE005AC">
      <w:numFmt w:val="bullet"/>
      <w:lvlText w:val="•"/>
      <w:lvlJc w:val="left"/>
      <w:pPr>
        <w:ind w:left="5631" w:hanging="353"/>
      </w:pPr>
      <w:rPr>
        <w:rFonts w:hint="default"/>
        <w:lang w:val="tr-TR" w:eastAsia="tr-TR" w:bidi="tr-TR"/>
      </w:rPr>
    </w:lvl>
    <w:lvl w:ilvl="7" w:tplc="D6E80612">
      <w:numFmt w:val="bullet"/>
      <w:lvlText w:val="•"/>
      <w:lvlJc w:val="left"/>
      <w:pPr>
        <w:ind w:left="6550" w:hanging="353"/>
      </w:pPr>
      <w:rPr>
        <w:rFonts w:hint="default"/>
        <w:lang w:val="tr-TR" w:eastAsia="tr-TR" w:bidi="tr-TR"/>
      </w:rPr>
    </w:lvl>
    <w:lvl w:ilvl="8" w:tplc="2072200A">
      <w:numFmt w:val="bullet"/>
      <w:lvlText w:val="•"/>
      <w:lvlJc w:val="left"/>
      <w:pPr>
        <w:ind w:left="7469" w:hanging="353"/>
      </w:pPr>
      <w:rPr>
        <w:rFonts w:hint="default"/>
        <w:lang w:val="tr-TR" w:eastAsia="tr-TR" w:bidi="tr-TR"/>
      </w:rPr>
    </w:lvl>
  </w:abstractNum>
  <w:abstractNum w:abstractNumId="4" w15:restartNumberingAfterBreak="0">
    <w:nsid w:val="6DCC68CA"/>
    <w:multiLevelType w:val="hybridMultilevel"/>
    <w:tmpl w:val="D44C1BF0"/>
    <w:lvl w:ilvl="0" w:tplc="2AA2E84C">
      <w:start w:val="1"/>
      <w:numFmt w:val="lowerLetter"/>
      <w:lvlText w:val="%1)"/>
      <w:lvlJc w:val="left"/>
      <w:pPr>
        <w:ind w:left="116" w:hanging="293"/>
        <w:jc w:val="left"/>
      </w:pPr>
      <w:rPr>
        <w:rFonts w:hint="default"/>
        <w:w w:val="100"/>
        <w:lang w:val="tr-TR" w:eastAsia="tr-TR" w:bidi="tr-TR"/>
      </w:rPr>
    </w:lvl>
    <w:lvl w:ilvl="1" w:tplc="34749BA4">
      <w:numFmt w:val="bullet"/>
      <w:lvlText w:val="•"/>
      <w:lvlJc w:val="left"/>
      <w:pPr>
        <w:ind w:left="1038" w:hanging="293"/>
      </w:pPr>
      <w:rPr>
        <w:rFonts w:hint="default"/>
        <w:lang w:val="tr-TR" w:eastAsia="tr-TR" w:bidi="tr-TR"/>
      </w:rPr>
    </w:lvl>
    <w:lvl w:ilvl="2" w:tplc="49CEE54E">
      <w:numFmt w:val="bullet"/>
      <w:lvlText w:val="•"/>
      <w:lvlJc w:val="left"/>
      <w:pPr>
        <w:ind w:left="1957" w:hanging="293"/>
      </w:pPr>
      <w:rPr>
        <w:rFonts w:hint="default"/>
        <w:lang w:val="tr-TR" w:eastAsia="tr-TR" w:bidi="tr-TR"/>
      </w:rPr>
    </w:lvl>
    <w:lvl w:ilvl="3" w:tplc="9C723FEE">
      <w:numFmt w:val="bullet"/>
      <w:lvlText w:val="•"/>
      <w:lvlJc w:val="left"/>
      <w:pPr>
        <w:ind w:left="2875" w:hanging="293"/>
      </w:pPr>
      <w:rPr>
        <w:rFonts w:hint="default"/>
        <w:lang w:val="tr-TR" w:eastAsia="tr-TR" w:bidi="tr-TR"/>
      </w:rPr>
    </w:lvl>
    <w:lvl w:ilvl="4" w:tplc="ECEC9752">
      <w:numFmt w:val="bullet"/>
      <w:lvlText w:val="•"/>
      <w:lvlJc w:val="left"/>
      <w:pPr>
        <w:ind w:left="3794" w:hanging="293"/>
      </w:pPr>
      <w:rPr>
        <w:rFonts w:hint="default"/>
        <w:lang w:val="tr-TR" w:eastAsia="tr-TR" w:bidi="tr-TR"/>
      </w:rPr>
    </w:lvl>
    <w:lvl w:ilvl="5" w:tplc="916667FA">
      <w:numFmt w:val="bullet"/>
      <w:lvlText w:val="•"/>
      <w:lvlJc w:val="left"/>
      <w:pPr>
        <w:ind w:left="4713" w:hanging="293"/>
      </w:pPr>
      <w:rPr>
        <w:rFonts w:hint="default"/>
        <w:lang w:val="tr-TR" w:eastAsia="tr-TR" w:bidi="tr-TR"/>
      </w:rPr>
    </w:lvl>
    <w:lvl w:ilvl="6" w:tplc="514AF39A">
      <w:numFmt w:val="bullet"/>
      <w:lvlText w:val="•"/>
      <w:lvlJc w:val="left"/>
      <w:pPr>
        <w:ind w:left="5631" w:hanging="293"/>
      </w:pPr>
      <w:rPr>
        <w:rFonts w:hint="default"/>
        <w:lang w:val="tr-TR" w:eastAsia="tr-TR" w:bidi="tr-TR"/>
      </w:rPr>
    </w:lvl>
    <w:lvl w:ilvl="7" w:tplc="1DACA11E">
      <w:numFmt w:val="bullet"/>
      <w:lvlText w:val="•"/>
      <w:lvlJc w:val="left"/>
      <w:pPr>
        <w:ind w:left="6550" w:hanging="293"/>
      </w:pPr>
      <w:rPr>
        <w:rFonts w:hint="default"/>
        <w:lang w:val="tr-TR" w:eastAsia="tr-TR" w:bidi="tr-TR"/>
      </w:rPr>
    </w:lvl>
    <w:lvl w:ilvl="8" w:tplc="97E2221A">
      <w:numFmt w:val="bullet"/>
      <w:lvlText w:val="•"/>
      <w:lvlJc w:val="left"/>
      <w:pPr>
        <w:ind w:left="7469" w:hanging="293"/>
      </w:pPr>
      <w:rPr>
        <w:rFonts w:hint="default"/>
        <w:lang w:val="tr-TR" w:eastAsia="tr-TR" w:bidi="tr-TR"/>
      </w:rPr>
    </w:lvl>
  </w:abstractNum>
  <w:abstractNum w:abstractNumId="5" w15:restartNumberingAfterBreak="0">
    <w:nsid w:val="793B1CC2"/>
    <w:multiLevelType w:val="hybridMultilevel"/>
    <w:tmpl w:val="FB2EA906"/>
    <w:lvl w:ilvl="0" w:tplc="FAA89918">
      <w:start w:val="1"/>
      <w:numFmt w:val="lowerLetter"/>
      <w:lvlText w:val="%1)"/>
      <w:lvlJc w:val="left"/>
      <w:pPr>
        <w:ind w:left="322" w:hanging="207"/>
        <w:jc w:val="left"/>
      </w:pPr>
      <w:rPr>
        <w:rFonts w:ascii="Times New Roman" w:eastAsia="Times New Roman" w:hAnsi="Times New Roman" w:cs="Times New Roman" w:hint="default"/>
        <w:w w:val="99"/>
        <w:sz w:val="20"/>
        <w:szCs w:val="20"/>
        <w:lang w:val="tr-TR" w:eastAsia="tr-TR" w:bidi="tr-TR"/>
      </w:rPr>
    </w:lvl>
    <w:lvl w:ilvl="1" w:tplc="C79E7244">
      <w:numFmt w:val="bullet"/>
      <w:lvlText w:val="•"/>
      <w:lvlJc w:val="left"/>
      <w:pPr>
        <w:ind w:left="1218" w:hanging="207"/>
      </w:pPr>
      <w:rPr>
        <w:rFonts w:hint="default"/>
        <w:lang w:val="tr-TR" w:eastAsia="tr-TR" w:bidi="tr-TR"/>
      </w:rPr>
    </w:lvl>
    <w:lvl w:ilvl="2" w:tplc="085E43F0">
      <w:numFmt w:val="bullet"/>
      <w:lvlText w:val="•"/>
      <w:lvlJc w:val="left"/>
      <w:pPr>
        <w:ind w:left="2117" w:hanging="207"/>
      </w:pPr>
      <w:rPr>
        <w:rFonts w:hint="default"/>
        <w:lang w:val="tr-TR" w:eastAsia="tr-TR" w:bidi="tr-TR"/>
      </w:rPr>
    </w:lvl>
    <w:lvl w:ilvl="3" w:tplc="E2BCF46C">
      <w:numFmt w:val="bullet"/>
      <w:lvlText w:val="•"/>
      <w:lvlJc w:val="left"/>
      <w:pPr>
        <w:ind w:left="3015" w:hanging="207"/>
      </w:pPr>
      <w:rPr>
        <w:rFonts w:hint="default"/>
        <w:lang w:val="tr-TR" w:eastAsia="tr-TR" w:bidi="tr-TR"/>
      </w:rPr>
    </w:lvl>
    <w:lvl w:ilvl="4" w:tplc="7150AE1E">
      <w:numFmt w:val="bullet"/>
      <w:lvlText w:val="•"/>
      <w:lvlJc w:val="left"/>
      <w:pPr>
        <w:ind w:left="3914" w:hanging="207"/>
      </w:pPr>
      <w:rPr>
        <w:rFonts w:hint="default"/>
        <w:lang w:val="tr-TR" w:eastAsia="tr-TR" w:bidi="tr-TR"/>
      </w:rPr>
    </w:lvl>
    <w:lvl w:ilvl="5" w:tplc="53F2CE94">
      <w:numFmt w:val="bullet"/>
      <w:lvlText w:val="•"/>
      <w:lvlJc w:val="left"/>
      <w:pPr>
        <w:ind w:left="4813" w:hanging="207"/>
      </w:pPr>
      <w:rPr>
        <w:rFonts w:hint="default"/>
        <w:lang w:val="tr-TR" w:eastAsia="tr-TR" w:bidi="tr-TR"/>
      </w:rPr>
    </w:lvl>
    <w:lvl w:ilvl="6" w:tplc="80466EEE">
      <w:numFmt w:val="bullet"/>
      <w:lvlText w:val="•"/>
      <w:lvlJc w:val="left"/>
      <w:pPr>
        <w:ind w:left="5711" w:hanging="207"/>
      </w:pPr>
      <w:rPr>
        <w:rFonts w:hint="default"/>
        <w:lang w:val="tr-TR" w:eastAsia="tr-TR" w:bidi="tr-TR"/>
      </w:rPr>
    </w:lvl>
    <w:lvl w:ilvl="7" w:tplc="21E24510">
      <w:numFmt w:val="bullet"/>
      <w:lvlText w:val="•"/>
      <w:lvlJc w:val="left"/>
      <w:pPr>
        <w:ind w:left="6610" w:hanging="207"/>
      </w:pPr>
      <w:rPr>
        <w:rFonts w:hint="default"/>
        <w:lang w:val="tr-TR" w:eastAsia="tr-TR" w:bidi="tr-TR"/>
      </w:rPr>
    </w:lvl>
    <w:lvl w:ilvl="8" w:tplc="0CD6CDE2">
      <w:numFmt w:val="bullet"/>
      <w:lvlText w:val="•"/>
      <w:lvlJc w:val="left"/>
      <w:pPr>
        <w:ind w:left="7509" w:hanging="207"/>
      </w:pPr>
      <w:rPr>
        <w:rFonts w:hint="default"/>
        <w:lang w:val="tr-TR" w:eastAsia="tr-TR" w:bidi="tr-TR"/>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06"/>
    <w:rsid w:val="000136A3"/>
    <w:rsid w:val="008E2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5F46"/>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line="264" w:lineRule="exact"/>
      <w:ind w:left="116"/>
      <w:jc w:val="center"/>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3"/>
      <w:szCs w:val="23"/>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pPr>
      <w:spacing w:line="223"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1970</Words>
  <Characters>11230</Characters>
  <Application>Microsoft Office Word</Application>
  <DocSecurity>0</DocSecurity>
  <Lines>93</Lines>
  <Paragraphs>26</Paragraphs>
  <ScaleCrop>false</ScaleCrop>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GÜNEŞ</cp:lastModifiedBy>
  <cp:revision>2</cp:revision>
  <dcterms:created xsi:type="dcterms:W3CDTF">2021-11-10T08:32:00Z</dcterms:created>
  <dcterms:modified xsi:type="dcterms:W3CDTF">2021-11-10T08:32:00Z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Creator">
    <vt:lpwstr>Microsoft® Word 2010</vt:lpwstr>
  </property>
  <property fmtid="{D5CDD505-2E9C-101B-9397-08002B2CF9AE}" pid="4" name="LastSaved">
    <vt:filetime>2021-11-10T00:00:00Z</vt:filetime>
  </property>
</Properties>
</file>